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32"/>
          <w:szCs w:val="32"/>
          <w:lang w:val="en-US" w:eastAsia="zh-CN"/>
        </w:rPr>
      </w:pPr>
      <w:r>
        <w:rPr>
          <w:rFonts w:hint="eastAsia"/>
          <w:sz w:val="32"/>
          <w:szCs w:val="32"/>
          <w:lang w:val="en-US" w:eastAsia="zh-CN"/>
        </w:rPr>
        <w:t>附件1：</w:t>
      </w:r>
    </w:p>
    <w:p>
      <w:pPr>
        <w:jc w:val="center"/>
        <w:rPr>
          <w:rFonts w:hint="eastAsia"/>
          <w:b/>
          <w:bCs/>
          <w:sz w:val="36"/>
          <w:szCs w:val="36"/>
          <w:lang w:val="en-US" w:eastAsia="zh-CN"/>
        </w:rPr>
      </w:pPr>
      <w:r>
        <w:rPr>
          <w:rFonts w:hint="eastAsia"/>
          <w:b/>
          <w:bCs/>
          <w:sz w:val="36"/>
          <w:szCs w:val="36"/>
          <w:lang w:val="en-US" w:eastAsia="zh-CN"/>
        </w:rPr>
        <w:t>浙江省玩具和婴童用品标准化技术委员会成立大会</w:t>
      </w:r>
    </w:p>
    <w:p>
      <w:pPr>
        <w:jc w:val="center"/>
        <w:rPr>
          <w:rFonts w:hint="eastAsia"/>
          <w:b/>
          <w:bCs/>
          <w:sz w:val="36"/>
          <w:szCs w:val="36"/>
          <w:lang w:val="en-US" w:eastAsia="zh-CN"/>
        </w:rPr>
      </w:pPr>
      <w:r>
        <w:rPr>
          <w:rFonts w:hint="eastAsia"/>
          <w:b/>
          <w:bCs/>
          <w:sz w:val="36"/>
          <w:szCs w:val="36"/>
          <w:lang w:val="en-US" w:eastAsia="zh-CN"/>
        </w:rPr>
        <w:t>暨首次全体委员会会议议程</w:t>
      </w:r>
    </w:p>
    <w:tbl>
      <w:tblPr>
        <w:tblStyle w:val="5"/>
        <w:tblpPr w:leftFromText="180" w:rightFromText="180" w:vertAnchor="page" w:horzAnchor="page" w:tblpX="1038" w:tblpY="3393"/>
        <w:tblOverlap w:val="never"/>
        <w:tblW w:w="10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338"/>
        <w:gridCol w:w="5262"/>
        <w:gridCol w:w="1100"/>
        <w:gridCol w:w="108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7" w:type="dxa"/>
            <w:gridSpan w:val="6"/>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时间：2018年11月9日                          地点：宁波阳光豪生大酒店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162"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议程</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主持人</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浙江省玩具和婴童用品标准化技术委员会成立大会</w:t>
            </w: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省市场监督管理局标准化处负责人宣读标委会成立批文</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周坚锋</w:t>
            </w:r>
          </w:p>
        </w:tc>
        <w:tc>
          <w:tcPr>
            <w:tcW w:w="1083"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胡天明</w:t>
            </w:r>
          </w:p>
        </w:tc>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省市场监督管理局标准化处负责人为主任委员、副主任委员、秘书长、副秘书长颁发聘书</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周坚锋</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标委会主任叶伟德发言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叶伟德</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市质监局领导讲话</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胡海达</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市经信委领导讲话</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方  巍</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省市场监督管理局标准化处负责人讲话</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周坚锋</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全国玩标委领导讲话</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王献新</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7" w:type="dxa"/>
            <w:gridSpan w:val="6"/>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浙江省玩具和婴童用品标准化技术委员会首次全体委员大会</w:t>
            </w: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汇报浙江省玩具和婴童用品标准化技术委员会筹建情况</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胡天明</w:t>
            </w:r>
          </w:p>
        </w:tc>
        <w:tc>
          <w:tcPr>
            <w:tcW w:w="1083"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孙建强</w:t>
            </w:r>
          </w:p>
        </w:tc>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通报浙江省玩具和婴童用品标准化技术委员会全体委员名单</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叶伟德</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审议并表决浙江省玩具和婴童用品标准化技术委员会章程（草案）</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周丽萍</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审议并表决浙江省玩具和婴童用品标准化技术委员会秘书处工作细则（草案）</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田旭玲</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讨论浙江省玩具和婴童用品标准化技术委员会标准体系建设方案和标准化工作规划（未来三到五年）</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张海潮</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3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主任委员讲话</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叶伟德</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bl>
    <w:p>
      <w:pPr>
        <w:numPr>
          <w:ilvl w:val="0"/>
          <w:numId w:val="0"/>
        </w:numPr>
        <w:jc w:val="left"/>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567" w:right="0" w:rightChars="0" w:firstLine="567"/>
        <w:jc w:val="left"/>
        <w:textAlignment w:val="auto"/>
        <w:outlineLvl w:val="9"/>
        <w:rPr>
          <w:rFonts w:hint="eastAsia"/>
          <w:sz w:val="32"/>
          <w:szCs w:val="32"/>
          <w:lang w:val="en-US" w:eastAsia="zh-CN"/>
        </w:rPr>
      </w:pPr>
      <w:r>
        <w:rPr>
          <w:rFonts w:hint="eastAsia"/>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left="-567" w:right="0" w:rightChars="0" w:firstLine="567"/>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参会回执单</w:t>
      </w:r>
    </w:p>
    <w:p>
      <w:pPr>
        <w:keepNext w:val="0"/>
        <w:keepLines w:val="0"/>
        <w:pageBreakBefore w:val="0"/>
        <w:widowControl w:val="0"/>
        <w:kinsoku/>
        <w:wordWrap/>
        <w:overflowPunct/>
        <w:topLinePunct w:val="0"/>
        <w:autoSpaceDE/>
        <w:autoSpaceDN/>
        <w:bidi w:val="0"/>
        <w:adjustRightInd/>
        <w:snapToGrid/>
        <w:spacing w:line="500" w:lineRule="exact"/>
        <w:ind w:left="-567" w:right="0" w:rightChars="0" w:firstLine="567"/>
        <w:jc w:val="center"/>
        <w:textAlignment w:val="auto"/>
        <w:outlineLvl w:val="9"/>
        <w:rPr>
          <w:rFonts w:hint="eastAsia" w:ascii="仿宋_GB2312" w:hAnsi="仿宋_GB2312" w:eastAsia="仿宋_GB2312" w:cs="仿宋_GB2312"/>
          <w:b/>
          <w:bCs/>
          <w:sz w:val="36"/>
          <w:szCs w:val="36"/>
          <w:lang w:val="en-US" w:eastAsia="zh-CN"/>
        </w:rPr>
      </w:pPr>
    </w:p>
    <w:tbl>
      <w:tblPr>
        <w:tblStyle w:val="5"/>
        <w:tblW w:w="10084" w:type="dxa"/>
        <w:jc w:val="center"/>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899"/>
        <w:gridCol w:w="993"/>
        <w:gridCol w:w="2111"/>
        <w:gridCol w:w="1413"/>
        <w:gridCol w:w="143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企业名称</w:t>
            </w:r>
          </w:p>
        </w:tc>
        <w:tc>
          <w:tcPr>
            <w:tcW w:w="8535" w:type="dxa"/>
            <w:gridSpan w:val="6"/>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姓名</w:t>
            </w:r>
          </w:p>
        </w:tc>
        <w:tc>
          <w:tcPr>
            <w:tcW w:w="89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职务</w:t>
            </w:r>
          </w:p>
        </w:tc>
        <w:tc>
          <w:tcPr>
            <w:tcW w:w="99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性别</w:t>
            </w:r>
          </w:p>
        </w:tc>
        <w:tc>
          <w:tcPr>
            <w:tcW w:w="2111"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41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是否住宿</w:t>
            </w:r>
          </w:p>
        </w:tc>
        <w:tc>
          <w:tcPr>
            <w:tcW w:w="14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入住日期</w:t>
            </w:r>
          </w:p>
        </w:tc>
        <w:tc>
          <w:tcPr>
            <w:tcW w:w="1682"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退房日期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9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99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111"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1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82"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99"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99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111"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1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82"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ind w:left="-567" w:right="0" w:rightChars="0" w:firstLine="567"/>
        <w:jc w:val="both"/>
        <w:textAlignment w:val="auto"/>
        <w:outlineLvl w:val="9"/>
        <w:rPr>
          <w:rFonts w:hint="eastAsia"/>
          <w:sz w:val="32"/>
          <w:szCs w:val="32"/>
          <w:lang w:val="en-US" w:eastAsia="zh-CN"/>
        </w:rPr>
      </w:pPr>
      <w:r>
        <w:rPr>
          <w:rFonts w:hint="eastAsia" w:ascii="仿宋_GB2312" w:hAnsi="仿宋_GB2312" w:eastAsia="仿宋_GB2312" w:cs="仿宋_GB2312"/>
          <w:sz w:val="28"/>
          <w:szCs w:val="28"/>
          <w:lang w:val="en-US" w:eastAsia="zh-CN"/>
        </w:rPr>
        <w:t>备注：</w:t>
      </w:r>
      <w:r>
        <w:rPr>
          <w:rFonts w:hint="eastAsia" w:ascii="仿宋_GB2312" w:hAnsi="仿宋_GB2312" w:eastAsia="仿宋_GB2312" w:cs="仿宋_GB2312"/>
          <w:b w:val="0"/>
          <w:bCs w:val="0"/>
          <w:color w:val="auto"/>
          <w:sz w:val="28"/>
          <w:szCs w:val="28"/>
          <w:u w:val="none"/>
          <w:lang w:val="en-US" w:eastAsia="zh-CN"/>
        </w:rPr>
        <w:fldChar w:fldCharType="begin"/>
      </w:r>
      <w:r>
        <w:rPr>
          <w:rFonts w:hint="eastAsia" w:ascii="仿宋_GB2312" w:hAnsi="仿宋_GB2312" w:eastAsia="仿宋_GB2312" w:cs="仿宋_GB2312"/>
          <w:b w:val="0"/>
          <w:bCs w:val="0"/>
          <w:color w:val="auto"/>
          <w:sz w:val="28"/>
          <w:szCs w:val="28"/>
          <w:u w:val="none"/>
          <w:lang w:val="en-US" w:eastAsia="zh-CN"/>
        </w:rPr>
        <w:instrText xml:space="preserve"> HYPERLINK "mailto:1、报名回执单请于11月5日前回复至nbtjpa@126.com。" </w:instrText>
      </w:r>
      <w:r>
        <w:rPr>
          <w:rFonts w:hint="eastAsia" w:ascii="仿宋_GB2312" w:hAnsi="仿宋_GB2312" w:eastAsia="仿宋_GB2312" w:cs="仿宋_GB2312"/>
          <w:b w:val="0"/>
          <w:bCs w:val="0"/>
          <w:color w:val="auto"/>
          <w:sz w:val="28"/>
          <w:szCs w:val="28"/>
          <w:u w:val="none"/>
          <w:lang w:val="en-US" w:eastAsia="zh-CN"/>
        </w:rPr>
        <w:fldChar w:fldCharType="separate"/>
      </w:r>
      <w:r>
        <w:rPr>
          <w:rStyle w:val="3"/>
          <w:rFonts w:hint="eastAsia" w:ascii="仿宋_GB2312" w:hAnsi="仿宋_GB2312" w:eastAsia="仿宋_GB2312" w:cs="仿宋_GB2312"/>
          <w:b w:val="0"/>
          <w:bCs w:val="0"/>
          <w:color w:val="auto"/>
          <w:sz w:val="28"/>
          <w:szCs w:val="28"/>
          <w:u w:val="none"/>
          <w:lang w:val="en-US" w:eastAsia="zh-CN"/>
        </w:rPr>
        <w:t>报名回执单请于11月5日前回复至nbtjpa@126.com。</w:t>
      </w:r>
      <w:r>
        <w:rPr>
          <w:rFonts w:hint="eastAsia" w:ascii="仿宋_GB2312" w:hAnsi="仿宋_GB2312" w:eastAsia="仿宋_GB2312" w:cs="仿宋_GB2312"/>
          <w:b w:val="0"/>
          <w:bCs w:val="0"/>
          <w:color w:val="auto"/>
          <w:sz w:val="28"/>
          <w:szCs w:val="28"/>
          <w:u w:val="none"/>
          <w:lang w:val="en-US" w:eastAsia="zh-CN"/>
        </w:rPr>
        <w:fldChar w:fldCharType="end"/>
      </w: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p>
    <w:p>
      <w:pPr>
        <w:numPr>
          <w:ilvl w:val="0"/>
          <w:numId w:val="0"/>
        </w:numPr>
        <w:jc w:val="left"/>
        <w:rPr>
          <w:rFonts w:hint="eastAsia"/>
          <w:sz w:val="32"/>
          <w:szCs w:val="32"/>
          <w:lang w:val="en-US" w:eastAsia="zh-CN"/>
        </w:rPr>
      </w:pPr>
      <w:r>
        <w:rPr>
          <w:rFonts w:hint="eastAsia"/>
          <w:sz w:val="32"/>
          <w:szCs w:val="32"/>
          <w:lang w:val="en-US" w:eastAsia="zh-CN"/>
        </w:rPr>
        <w:drawing>
          <wp:anchor distT="0" distB="0" distL="114300" distR="114300" simplePos="0" relativeHeight="251660288" behindDoc="0" locked="0" layoutInCell="1" allowOverlap="1">
            <wp:simplePos x="0" y="0"/>
            <wp:positionH relativeFrom="column">
              <wp:posOffset>-445770</wp:posOffset>
            </wp:positionH>
            <wp:positionV relativeFrom="paragraph">
              <wp:posOffset>474980</wp:posOffset>
            </wp:positionV>
            <wp:extent cx="6123305" cy="8652510"/>
            <wp:effectExtent l="0" t="0" r="10795" b="15240"/>
            <wp:wrapTopAndBottom/>
            <wp:docPr id="2" name="图片 2" descr="浙质标函成立批复-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浙质标函成立批复-001"/>
                    <pic:cNvPicPr>
                      <a:picLocks noChangeAspect="1"/>
                    </pic:cNvPicPr>
                  </pic:nvPicPr>
                  <pic:blipFill>
                    <a:blip r:embed="rId4"/>
                    <a:stretch>
                      <a:fillRect/>
                    </a:stretch>
                  </pic:blipFill>
                  <pic:spPr>
                    <a:xfrm>
                      <a:off x="0" y="0"/>
                      <a:ext cx="6123305" cy="8652510"/>
                    </a:xfrm>
                    <a:prstGeom prst="rect">
                      <a:avLst/>
                    </a:prstGeom>
                  </pic:spPr>
                </pic:pic>
              </a:graphicData>
            </a:graphic>
          </wp:anchor>
        </w:drawing>
      </w:r>
      <w:r>
        <w:rPr>
          <w:rFonts w:hint="eastAsia"/>
          <w:sz w:val="32"/>
          <w:szCs w:val="32"/>
          <w:lang w:val="en-US" w:eastAsia="zh-CN"/>
        </w:rPr>
        <w:t>附件3：</w:t>
      </w:r>
    </w:p>
    <w:p>
      <w:pPr>
        <w:numPr>
          <w:ilvl w:val="0"/>
          <w:numId w:val="0"/>
        </w:numPr>
        <w:jc w:val="left"/>
        <w:rPr>
          <w:rFonts w:hint="eastAsia"/>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left"/>
        <w:rPr>
          <w:rFonts w:hint="eastAsia"/>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sz w:val="32"/>
          <w:szCs w:val="32"/>
          <w:lang w:val="en-US" w:eastAsia="zh-CN"/>
        </w:rPr>
        <w:drawing>
          <wp:anchor distT="0" distB="0" distL="114300" distR="114300" simplePos="0" relativeHeight="251661312" behindDoc="0" locked="0" layoutInCell="1" allowOverlap="1">
            <wp:simplePos x="0" y="0"/>
            <wp:positionH relativeFrom="column">
              <wp:posOffset>-419735</wp:posOffset>
            </wp:positionH>
            <wp:positionV relativeFrom="paragraph">
              <wp:posOffset>-165735</wp:posOffset>
            </wp:positionV>
            <wp:extent cx="5995035" cy="8471535"/>
            <wp:effectExtent l="0" t="0" r="5715" b="5715"/>
            <wp:wrapTopAndBottom/>
            <wp:docPr id="4" name="图片 4" descr="浙质标函成立批复-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浙质标函成立批复-002"/>
                    <pic:cNvPicPr>
                      <a:picLocks noChangeAspect="1"/>
                    </pic:cNvPicPr>
                  </pic:nvPicPr>
                  <pic:blipFill>
                    <a:blip r:embed="rId5"/>
                    <a:stretch>
                      <a:fillRect/>
                    </a:stretch>
                  </pic:blipFill>
                  <pic:spPr>
                    <a:xfrm>
                      <a:off x="0" y="0"/>
                      <a:ext cx="5995035" cy="8471535"/>
                    </a:xfrm>
                    <a:prstGeom prst="rect">
                      <a:avLst/>
                    </a:prstGeom>
                  </pic:spPr>
                </pic:pic>
              </a:graphicData>
            </a:graphic>
          </wp:anchor>
        </w:drawing>
      </w:r>
    </w:p>
    <w:p>
      <w:pPr>
        <w:numPr>
          <w:ilvl w:val="0"/>
          <w:numId w:val="0"/>
        </w:numPr>
        <w:jc w:val="left"/>
        <w:rPr>
          <w:rFonts w:hint="eastAsia"/>
          <w:sz w:val="32"/>
          <w:szCs w:val="32"/>
          <w:lang w:val="en-US" w:eastAsia="zh-CN"/>
        </w:rPr>
      </w:pPr>
      <w:r>
        <w:rPr>
          <w:rFonts w:hint="eastAsia"/>
          <w:sz w:val="32"/>
          <w:szCs w:val="32"/>
          <w:lang w:val="en-US" w:eastAsia="zh-CN"/>
        </w:rPr>
        <w:drawing>
          <wp:anchor distT="0" distB="0" distL="114300" distR="114300" simplePos="0" relativeHeight="251662336" behindDoc="0" locked="0" layoutInCell="1" allowOverlap="1">
            <wp:simplePos x="0" y="0"/>
            <wp:positionH relativeFrom="column">
              <wp:posOffset>-409575</wp:posOffset>
            </wp:positionH>
            <wp:positionV relativeFrom="paragraph">
              <wp:posOffset>-631190</wp:posOffset>
            </wp:positionV>
            <wp:extent cx="9767570" cy="6912610"/>
            <wp:effectExtent l="0" t="0" r="5080" b="2540"/>
            <wp:wrapTopAndBottom/>
            <wp:docPr id="5" name="图片 5" descr="浙质标函批复附件-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浙质标函批复附件-001"/>
                    <pic:cNvPicPr>
                      <a:picLocks noChangeAspect="1"/>
                    </pic:cNvPicPr>
                  </pic:nvPicPr>
                  <pic:blipFill>
                    <a:blip r:embed="rId6"/>
                    <a:stretch>
                      <a:fillRect/>
                    </a:stretch>
                  </pic:blipFill>
                  <pic:spPr>
                    <a:xfrm>
                      <a:off x="0" y="0"/>
                      <a:ext cx="9767570" cy="6912610"/>
                    </a:xfrm>
                    <a:prstGeom prst="rect">
                      <a:avLst/>
                    </a:prstGeom>
                  </pic:spPr>
                </pic:pic>
              </a:graphicData>
            </a:graphic>
          </wp:anchor>
        </w:drawing>
      </w:r>
    </w:p>
    <w:p>
      <w:pPr>
        <w:numPr>
          <w:ilvl w:val="0"/>
          <w:numId w:val="0"/>
        </w:numPr>
        <w:jc w:val="left"/>
        <w:rPr>
          <w:rFonts w:hint="eastAsia"/>
          <w:sz w:val="32"/>
          <w:szCs w:val="32"/>
          <w:lang w:val="en-US" w:eastAsia="zh-CN"/>
        </w:rPr>
      </w:pPr>
      <w:r>
        <w:rPr>
          <w:rFonts w:hint="eastAsia"/>
          <w:sz w:val="32"/>
          <w:szCs w:val="32"/>
          <w:lang w:val="en-US" w:eastAsia="zh-CN"/>
        </w:rPr>
        <w:drawing>
          <wp:anchor distT="0" distB="0" distL="114300" distR="114300" simplePos="0" relativeHeight="251666432" behindDoc="0" locked="0" layoutInCell="1" allowOverlap="1">
            <wp:simplePos x="0" y="0"/>
            <wp:positionH relativeFrom="column">
              <wp:posOffset>-490220</wp:posOffset>
            </wp:positionH>
            <wp:positionV relativeFrom="paragraph">
              <wp:posOffset>-746125</wp:posOffset>
            </wp:positionV>
            <wp:extent cx="9918065" cy="7020560"/>
            <wp:effectExtent l="0" t="0" r="6985" b="8890"/>
            <wp:wrapTopAndBottom/>
            <wp:docPr id="9" name="图片 9" descr="浙质标函批复附件-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浙质标函批复附件-002"/>
                    <pic:cNvPicPr>
                      <a:picLocks noChangeAspect="1"/>
                    </pic:cNvPicPr>
                  </pic:nvPicPr>
                  <pic:blipFill>
                    <a:blip r:embed="rId7"/>
                    <a:stretch>
                      <a:fillRect/>
                    </a:stretch>
                  </pic:blipFill>
                  <pic:spPr>
                    <a:xfrm>
                      <a:off x="0" y="0"/>
                      <a:ext cx="9918065" cy="7020560"/>
                    </a:xfrm>
                    <a:prstGeom prst="rect">
                      <a:avLst/>
                    </a:prstGeom>
                  </pic:spPr>
                </pic:pic>
              </a:graphicData>
            </a:graphic>
          </wp:anchor>
        </w:drawing>
      </w:r>
    </w:p>
    <w:p>
      <w:pPr>
        <w:numPr>
          <w:ilvl w:val="0"/>
          <w:numId w:val="0"/>
        </w:numPr>
        <w:jc w:val="left"/>
        <w:rPr>
          <w:rFonts w:hint="eastAsia"/>
          <w:sz w:val="32"/>
          <w:szCs w:val="32"/>
          <w:lang w:val="en-US" w:eastAsia="zh-CN"/>
        </w:rPr>
      </w:pPr>
      <w:r>
        <w:rPr>
          <w:rFonts w:hint="eastAsia"/>
          <w:sz w:val="32"/>
          <w:szCs w:val="32"/>
          <w:lang w:val="en-US" w:eastAsia="zh-CN"/>
        </w:rPr>
        <w:drawing>
          <wp:anchor distT="0" distB="0" distL="114300" distR="114300" simplePos="0" relativeHeight="251667456" behindDoc="0" locked="0" layoutInCell="1" allowOverlap="1">
            <wp:simplePos x="0" y="0"/>
            <wp:positionH relativeFrom="column">
              <wp:posOffset>-643255</wp:posOffset>
            </wp:positionH>
            <wp:positionV relativeFrom="paragraph">
              <wp:posOffset>-775335</wp:posOffset>
            </wp:positionV>
            <wp:extent cx="10096500" cy="7146290"/>
            <wp:effectExtent l="0" t="0" r="0" b="16510"/>
            <wp:wrapTopAndBottom/>
            <wp:docPr id="10" name="图片 10" descr="浙质标函批复附件-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浙质标函批复附件-003"/>
                    <pic:cNvPicPr>
                      <a:picLocks noChangeAspect="1"/>
                    </pic:cNvPicPr>
                  </pic:nvPicPr>
                  <pic:blipFill>
                    <a:blip r:embed="rId8"/>
                    <a:stretch>
                      <a:fillRect/>
                    </a:stretch>
                  </pic:blipFill>
                  <pic:spPr>
                    <a:xfrm>
                      <a:off x="0" y="0"/>
                      <a:ext cx="10096500" cy="7146290"/>
                    </a:xfrm>
                    <a:prstGeom prst="rect">
                      <a:avLst/>
                    </a:prstGeom>
                  </pic:spPr>
                </pic:pic>
              </a:graphicData>
            </a:graphic>
          </wp:anchor>
        </w:drawing>
      </w:r>
    </w:p>
    <w:p>
      <w:pPr>
        <w:numPr>
          <w:ilvl w:val="0"/>
          <w:numId w:val="0"/>
        </w:numPr>
        <w:jc w:val="left"/>
        <w:rPr>
          <w:rFonts w:hint="eastAsia"/>
          <w:sz w:val="32"/>
          <w:szCs w:val="32"/>
          <w:lang w:val="en-US" w:eastAsia="zh-CN"/>
        </w:rPr>
      </w:pPr>
      <w:r>
        <w:rPr>
          <w:rFonts w:hint="eastAsia"/>
          <w:sz w:val="32"/>
          <w:szCs w:val="32"/>
          <w:lang w:val="en-US" w:eastAsia="zh-CN"/>
        </w:rPr>
        <w:drawing>
          <wp:anchor distT="0" distB="0" distL="114300" distR="114300" simplePos="0" relativeHeight="251665408" behindDoc="0" locked="0" layoutInCell="1" allowOverlap="1">
            <wp:simplePos x="0" y="0"/>
            <wp:positionH relativeFrom="column">
              <wp:posOffset>-542925</wp:posOffset>
            </wp:positionH>
            <wp:positionV relativeFrom="paragraph">
              <wp:posOffset>-859155</wp:posOffset>
            </wp:positionV>
            <wp:extent cx="10073005" cy="7067550"/>
            <wp:effectExtent l="0" t="0" r="4445" b="0"/>
            <wp:wrapTopAndBottom/>
            <wp:docPr id="8" name="图片 8" descr="浙质标函批复附件-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浙质标函批复附件-004"/>
                    <pic:cNvPicPr>
                      <a:picLocks noChangeAspect="1"/>
                    </pic:cNvPicPr>
                  </pic:nvPicPr>
                  <pic:blipFill>
                    <a:blip r:embed="rId9"/>
                    <a:stretch>
                      <a:fillRect/>
                    </a:stretch>
                  </pic:blipFill>
                  <pic:spPr>
                    <a:xfrm>
                      <a:off x="0" y="0"/>
                      <a:ext cx="10073005" cy="7067550"/>
                    </a:xfrm>
                    <a:prstGeom prst="rect">
                      <a:avLst/>
                    </a:prstGeom>
                  </pic:spPr>
                </pic:pic>
              </a:graphicData>
            </a:graphic>
          </wp:anchor>
        </w:drawing>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965B2"/>
    <w:rsid w:val="6D535020"/>
    <w:rsid w:val="7899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2018-10-23T06:30:00Z</dcterms:created>
  <dc:creator>周三多</dc:creator>
  <cp:lastModifiedBy>周三多</cp:lastModifiedBy>
  <dcterms:modified xsi:type="dcterms:W3CDTF">2018-10-23T06:30:55Z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