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2"/>
        </w:rPr>
        <w:t xml:space="preserve">宁波市玩具和婴童用品行业 </w:t>
      </w:r>
      <w:r>
        <w:rPr>
          <w:rFonts w:hint="eastAsia" w:ascii="ËÎÌå" w:hAnsi="ËÎÌå"/>
          <w:b/>
          <w:bCs/>
          <w:sz w:val="42"/>
          <w:lang w:val="en-US" w:eastAsia="zh-CN"/>
        </w:rPr>
        <w:t>2017</w:t>
      </w:r>
      <w:r>
        <w:rPr>
          <w:rFonts w:hint="eastAsia" w:ascii="宋体" w:hAnsi="宋体"/>
          <w:b/>
          <w:bCs/>
          <w:sz w:val="42"/>
        </w:rPr>
        <w:t>年度工业企业经济运行数据统计表</w:t>
      </w:r>
    </w:p>
    <w:p>
      <w:pPr>
        <w:jc w:val="center"/>
        <w:rPr>
          <w:rFonts w:hint="eastAsia" w:ascii="宋体" w:hAnsi="宋体"/>
          <w:b/>
          <w:bCs/>
          <w:sz w:val="11"/>
          <w:szCs w:val="11"/>
        </w:rPr>
      </w:pPr>
    </w:p>
    <w:p>
      <w:pPr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企业名称：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2017年1月-12月                               单位：万元</w:t>
      </w:r>
    </w:p>
    <w:tbl>
      <w:tblPr>
        <w:tblStyle w:val="4"/>
        <w:tblW w:w="15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19"/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指标名称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工业总产值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新产品产值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工业销售产值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出口交货值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资产总计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19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19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数值</w:t>
            </w:r>
            <w:r>
              <w:rPr>
                <w:rFonts w:hint="default" w:ascii="ËÎÌå" w:hAnsi="ËÎÌå" w:eastAsia="ËÎÌå"/>
                <w:sz w:val="21"/>
              </w:rPr>
              <w:t>（</w:t>
            </w:r>
            <w:r>
              <w:rPr>
                <w:rFonts w:hint="eastAsia" w:ascii="宋体" w:hAnsi="宋体"/>
                <w:sz w:val="21"/>
              </w:rPr>
              <w:t>万元</w:t>
            </w:r>
            <w:r>
              <w:rPr>
                <w:rFonts w:hint="default" w:ascii="ËÎÌå" w:hAnsi="ËÎÌå" w:eastAsia="ËÎÌå"/>
                <w:sz w:val="21"/>
              </w:rPr>
              <w:t>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指标名称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负债总计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主营业务收入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利税总额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利润总额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从业人员平均人数</w:t>
            </w:r>
            <w:r>
              <w:rPr>
                <w:rFonts w:hint="default" w:ascii="ËÎÌå" w:hAnsi="ËÎÌå" w:eastAsia="ËÎÌå"/>
                <w:sz w:val="21"/>
              </w:rPr>
              <w:t>（</w:t>
            </w:r>
            <w:r>
              <w:rPr>
                <w:rFonts w:hint="eastAsia" w:ascii="宋体" w:hAnsi="宋体"/>
                <w:sz w:val="21"/>
              </w:rPr>
              <w:t>人</w:t>
            </w:r>
            <w:r>
              <w:rPr>
                <w:rFonts w:hint="default" w:ascii="ËÎÌå" w:hAnsi="ËÎÌå" w:eastAsia="ËÎÌå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19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19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ËÎÌå" w:hAnsi="ËÎÌå"/>
                <w:sz w:val="21"/>
                <w:lang w:val="en-US" w:eastAsia="zh-CN"/>
              </w:rPr>
              <w:t>12</w:t>
            </w:r>
            <w:r>
              <w:rPr>
                <w:rFonts w:hint="default" w:ascii="ËÎÌå" w:hAnsi="ËÎÌå" w:eastAsia="ËÎÌå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月止累计</w:t>
            </w:r>
          </w:p>
        </w:tc>
        <w:tc>
          <w:tcPr>
            <w:tcW w:w="1420" w:type="dxa"/>
            <w:vAlign w:val="center"/>
          </w:tcPr>
          <w:p>
            <w:pPr>
              <w:spacing w:beforeLines="0" w:afterLines="0" w:line="239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去年同期止累计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数值</w:t>
            </w:r>
            <w:r>
              <w:rPr>
                <w:rFonts w:hint="default" w:ascii="ËÎÌå" w:hAnsi="ËÎÌå" w:eastAsia="ËÎÌå"/>
                <w:sz w:val="21"/>
              </w:rPr>
              <w:t>（</w:t>
            </w:r>
            <w:r>
              <w:rPr>
                <w:rFonts w:hint="eastAsia" w:ascii="宋体" w:hAnsi="宋体"/>
                <w:sz w:val="21"/>
              </w:rPr>
              <w:t>万元</w:t>
            </w:r>
            <w:r>
              <w:rPr>
                <w:rFonts w:hint="default" w:ascii="ËÎÌå" w:hAnsi="ËÎÌå" w:eastAsia="ËÎÌå"/>
                <w:sz w:val="21"/>
              </w:rPr>
              <w:t>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ËÎÌå" w:hAnsi="ËÎÌå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7</w:t>
      </w:r>
      <w:r>
        <w:rPr>
          <w:rFonts w:hint="default" w:ascii="ËÎÌå" w:hAnsi="ËÎÌå" w:eastAsia="ËÎÌå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度主要产品产量汇总表</w:t>
      </w:r>
      <w:r>
        <w:rPr>
          <w:rFonts w:hint="default" w:ascii="ËÎÌå" w:hAnsi="ËÎÌå" w:eastAsia="ËÎÌå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ËÎÌå" w:hAnsi="ËÎÌå" w:eastAsia="ËÎÌå"/>
          <w:sz w:val="28"/>
          <w:szCs w:val="28"/>
        </w:rPr>
        <w:t>）</w:t>
      </w:r>
      <w:r>
        <w:rPr>
          <w:rFonts w:hint="eastAsia" w:ascii="ËÎÌå" w:hAnsi="ËÎÌå"/>
          <w:sz w:val="28"/>
          <w:szCs w:val="28"/>
          <w:lang w:val="en-US" w:eastAsia="zh-CN"/>
        </w:rPr>
        <w:t xml:space="preserve">                        单位：万元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61"/>
        <w:gridCol w:w="1561"/>
        <w:gridCol w:w="1561"/>
        <w:gridCol w:w="1561"/>
        <w:gridCol w:w="1561"/>
        <w:gridCol w:w="1562"/>
        <w:gridCol w:w="1562"/>
        <w:gridCol w:w="1562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产   品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婴儿车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婴童家具及床上用品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礼品类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儿童骑乘类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育婴童用品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益智玩具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安全座椅</w:t>
            </w:r>
          </w:p>
        </w:tc>
        <w:tc>
          <w:tcPr>
            <w:tcW w:w="1562" w:type="dxa"/>
            <w:vAlign w:val="center"/>
          </w:tcPr>
          <w:p>
            <w:pPr>
              <w:spacing w:beforeLines="0" w:afterLines="0" w:line="250" w:lineRule="exact"/>
              <w:ind w:left="100" w:leftChars="0"/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木</w:t>
            </w:r>
            <w:r>
              <w:rPr>
                <w:rFonts w:hint="default"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纸</w:t>
            </w:r>
            <w:r>
              <w:rPr>
                <w:rFonts w:hint="default"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竹</w:t>
            </w:r>
            <w:r>
              <w:rPr>
                <w:rFonts w:hint="default"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塑料</w:t>
            </w:r>
            <w:r>
              <w:rPr>
                <w:rFonts w:hint="default" w:ascii="宋体" w:hAnsi="宋体"/>
                <w:sz w:val="22"/>
              </w:rPr>
              <w:t>/</w:t>
            </w:r>
            <w:r>
              <w:rPr>
                <w:rFonts w:hint="eastAsia" w:ascii="宋体" w:hAnsi="宋体"/>
                <w:sz w:val="22"/>
              </w:rPr>
              <w:t>毛绒玩具</w:t>
            </w:r>
          </w:p>
        </w:tc>
        <w:tc>
          <w:tcPr>
            <w:tcW w:w="1562" w:type="dxa"/>
            <w:vAlign w:val="center"/>
          </w:tcPr>
          <w:p>
            <w:pPr>
              <w:spacing w:beforeLines="0" w:afterLines="0" w:line="250" w:lineRule="exact"/>
              <w:ind w:left="100" w:leftChars="0"/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其它</w:t>
            </w:r>
            <w:r>
              <w:rPr>
                <w:rFonts w:hint="default" w:ascii="宋体" w:hAnsi="宋体"/>
                <w:sz w:val="22"/>
              </w:rPr>
              <w:t>（</w:t>
            </w:r>
            <w:r>
              <w:rPr>
                <w:rFonts w:hint="eastAsia" w:ascii="宋体" w:hAnsi="宋体"/>
                <w:sz w:val="22"/>
              </w:rPr>
              <w:t>请自填</w:t>
            </w:r>
            <w:r>
              <w:rPr>
                <w:rFonts w:hint="default" w:ascii="宋体" w:hAnsi="宋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计量单位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beforeLines="0" w:afterLines="0" w:line="250" w:lineRule="exact"/>
              <w:ind w:left="100" w:leftChars="0"/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beforeLines="0" w:afterLines="0" w:line="250" w:lineRule="exact"/>
              <w:ind w:left="100" w:leftChars="0"/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12</w:t>
            </w:r>
            <w:r>
              <w:rPr>
                <w:rFonts w:hint="default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月止累计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61" w:type="dxa"/>
            <w:vAlign w:val="center"/>
          </w:tcPr>
          <w:p>
            <w:pPr>
              <w:spacing w:beforeLines="0" w:afterLines="0" w:line="250" w:lineRule="exact"/>
              <w:jc w:val="center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去年同期止</w:t>
            </w:r>
          </w:p>
          <w:p>
            <w:pPr>
              <w:spacing w:beforeLines="0" w:afterLines="0" w:line="250" w:lineRule="exact"/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累计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ËÎÌå" w:hAnsi="ËÎÌå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ËÎÌå" w:hAnsi="ËÎÌå"/>
          <w:sz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中國龍細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68A7"/>
    <w:rsid w:val="02DE2EFF"/>
    <w:rsid w:val="077E68A7"/>
    <w:rsid w:val="134923EA"/>
    <w:rsid w:val="173D61CB"/>
    <w:rsid w:val="1B641FF7"/>
    <w:rsid w:val="28850299"/>
    <w:rsid w:val="2CC95AD5"/>
    <w:rsid w:val="4C222A87"/>
    <w:rsid w:val="542D532E"/>
    <w:rsid w:val="570B51E1"/>
    <w:rsid w:val="5ECA5361"/>
    <w:rsid w:val="6315654F"/>
    <w:rsid w:val="640355F6"/>
    <w:rsid w:val="677E5E1B"/>
    <w:rsid w:val="7996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2017-08-04T01:44:00Z</dcterms:created>
  <dc:creator>Administrator</dc:creator>
  <cp:lastModifiedBy>甬玩协</cp:lastModifiedBy>
  <dcterms:modified xsi:type="dcterms:W3CDTF">2018-01-15T02:42:12Z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