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E" w:rsidRDefault="007918ED">
      <w:pPr>
        <w:spacing w:line="440" w:lineRule="exact"/>
        <w:ind w:firstLine="420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绛州绿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万亩设施农业建设项目</w:t>
      </w:r>
    </w:p>
    <w:bookmarkEnd w:id="0"/>
    <w:p w:rsidR="003F08AE" w:rsidRDefault="007918ED">
      <w:pPr>
        <w:spacing w:line="640" w:lineRule="exact"/>
        <w:rPr>
          <w:rFonts w:ascii="仿宋" w:eastAsia="仿宋" w:hAnsi="仿宋" w:cs="仿宋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一、项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绛州绿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万</w:t>
      </w:r>
      <w:r>
        <w:rPr>
          <w:rFonts w:ascii="仿宋" w:eastAsia="仿宋" w:hAnsi="仿宋" w:cs="仿宋" w:hint="eastAsia"/>
          <w:sz w:val="28"/>
          <w:szCs w:val="28"/>
        </w:rPr>
        <w:t>亩</w:t>
      </w:r>
      <w:r>
        <w:rPr>
          <w:rFonts w:ascii="仿宋" w:eastAsia="仿宋" w:hAnsi="仿宋" w:cs="仿宋" w:hint="eastAsia"/>
          <w:sz w:val="28"/>
          <w:szCs w:val="28"/>
        </w:rPr>
        <w:t>设施农业建设项</w:t>
      </w:r>
      <w:r>
        <w:rPr>
          <w:rFonts w:ascii="仿宋" w:eastAsia="仿宋" w:hAnsi="仿宋" w:cs="仿宋" w:hint="eastAsia"/>
          <w:sz w:val="28"/>
          <w:szCs w:val="28"/>
        </w:rPr>
        <w:t>目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二、申报单位：</w:t>
      </w:r>
      <w:r>
        <w:rPr>
          <w:rFonts w:ascii="仿宋" w:eastAsia="仿宋" w:hAnsi="仿宋" w:cs="仿宋" w:hint="eastAsia"/>
          <w:sz w:val="28"/>
          <w:szCs w:val="28"/>
        </w:rPr>
        <w:t>新</w:t>
      </w:r>
      <w:r>
        <w:rPr>
          <w:rFonts w:ascii="仿宋" w:eastAsia="仿宋" w:hAnsi="仿宋" w:cs="仿宋" w:hint="eastAsia"/>
          <w:sz w:val="28"/>
          <w:szCs w:val="28"/>
        </w:rPr>
        <w:t>绛县绛州绿集团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三、申报单位概况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新</w:t>
      </w:r>
      <w:r>
        <w:rPr>
          <w:rFonts w:ascii="仿宋" w:eastAsia="仿宋" w:hAnsi="仿宋" w:cs="仿宋" w:hint="eastAsia"/>
          <w:sz w:val="28"/>
          <w:szCs w:val="28"/>
        </w:rPr>
        <w:t>绛县绛州绿蔬菜有限公司成立</w:t>
      </w:r>
      <w:r>
        <w:rPr>
          <w:rFonts w:ascii="仿宋" w:eastAsia="仿宋" w:hAnsi="仿宋" w:cs="仿宋" w:hint="eastAsia"/>
          <w:sz w:val="28"/>
          <w:szCs w:val="28"/>
        </w:rPr>
        <w:t>于二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年，是我县蔬菜</w:t>
      </w:r>
      <w:r>
        <w:rPr>
          <w:rFonts w:ascii="仿宋" w:eastAsia="仿宋" w:hAnsi="仿宋" w:cs="仿宋" w:hint="eastAsia"/>
          <w:sz w:val="28"/>
          <w:szCs w:val="28"/>
        </w:rPr>
        <w:t>产业</w:t>
      </w:r>
      <w:r>
        <w:rPr>
          <w:rFonts w:ascii="仿宋" w:eastAsia="仿宋" w:hAnsi="仿宋" w:cs="仿宋" w:hint="eastAsia"/>
          <w:sz w:val="28"/>
          <w:szCs w:val="28"/>
        </w:rPr>
        <w:t>中，集生产、组织、管理、销售为一体</w:t>
      </w:r>
      <w:r>
        <w:rPr>
          <w:rFonts w:ascii="仿宋" w:eastAsia="仿宋" w:hAnsi="仿宋" w:cs="仿宋" w:hint="eastAsia"/>
          <w:sz w:val="28"/>
          <w:szCs w:val="28"/>
        </w:rPr>
        <w:t>的股</w:t>
      </w:r>
      <w:r>
        <w:rPr>
          <w:rFonts w:ascii="仿宋" w:eastAsia="仿宋" w:hAnsi="仿宋" w:cs="仿宋" w:hint="eastAsia"/>
          <w:sz w:val="28"/>
          <w:szCs w:val="28"/>
        </w:rPr>
        <w:t>份制公司。注册资本</w:t>
      </w:r>
      <w:r>
        <w:rPr>
          <w:rFonts w:ascii="仿宋" w:eastAsia="仿宋" w:hAnsi="仿宋" w:cs="仿宋" w:hint="eastAsia"/>
          <w:sz w:val="28"/>
          <w:szCs w:val="28"/>
        </w:rPr>
        <w:t>150</w:t>
      </w:r>
      <w:r>
        <w:rPr>
          <w:rFonts w:ascii="仿宋" w:eastAsia="仿宋" w:hAnsi="仿宋" w:cs="仿宋" w:hint="eastAsia"/>
          <w:sz w:val="28"/>
          <w:szCs w:val="28"/>
        </w:rPr>
        <w:t>万元。设有两个精品配送部、一个恒温</w:t>
      </w:r>
      <w:r>
        <w:rPr>
          <w:rFonts w:ascii="仿宋" w:eastAsia="仿宋" w:hAnsi="仿宋" w:cs="仿宋" w:hint="eastAsia"/>
          <w:sz w:val="28"/>
          <w:szCs w:val="28"/>
        </w:rPr>
        <w:t>保</w:t>
      </w:r>
      <w:r>
        <w:rPr>
          <w:rFonts w:ascii="仿宋" w:eastAsia="仿宋" w:hAnsi="仿宋" w:cs="仿宋" w:hint="eastAsia"/>
          <w:sz w:val="28"/>
          <w:szCs w:val="28"/>
        </w:rPr>
        <w:t>鲜库和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个产地</w:t>
      </w:r>
      <w:r>
        <w:rPr>
          <w:rFonts w:ascii="仿宋" w:eastAsia="仿宋" w:hAnsi="仿宋" w:cs="仿宋" w:hint="eastAsia"/>
          <w:sz w:val="28"/>
          <w:szCs w:val="28"/>
        </w:rPr>
        <w:t>市</w:t>
      </w:r>
      <w:r>
        <w:rPr>
          <w:rFonts w:ascii="仿宋" w:eastAsia="仿宋" w:hAnsi="仿宋" w:cs="仿宋" w:hint="eastAsia"/>
          <w:sz w:val="28"/>
          <w:szCs w:val="28"/>
        </w:rPr>
        <w:t>场。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三年</w:t>
      </w:r>
      <w:r>
        <w:rPr>
          <w:rFonts w:ascii="仿宋" w:eastAsia="仿宋" w:hAnsi="仿宋" w:cs="仿宋" w:hint="eastAsia"/>
          <w:sz w:val="28"/>
          <w:szCs w:val="28"/>
        </w:rPr>
        <w:t>公司</w:t>
      </w:r>
      <w:r>
        <w:rPr>
          <w:rFonts w:ascii="仿宋" w:eastAsia="仿宋" w:hAnsi="仿宋" w:cs="仿宋" w:hint="eastAsia"/>
          <w:sz w:val="28"/>
          <w:szCs w:val="28"/>
        </w:rPr>
        <w:t>所属八大基地种植的西红柿、甘蓝、茄子、黄瓜、莲菜、西葫芦等六个品种得到国家农业部的无公害产品认证，认证面积达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万亩。公司精品菜销售以及产地市场年交易</w:t>
      </w:r>
      <w:r>
        <w:rPr>
          <w:rFonts w:ascii="仿宋" w:eastAsia="仿宋" w:hAnsi="仿宋" w:cs="仿宋" w:hint="eastAsia"/>
          <w:sz w:val="28"/>
          <w:szCs w:val="28"/>
        </w:rPr>
        <w:t>量</w:t>
      </w:r>
      <w:r>
        <w:rPr>
          <w:rFonts w:ascii="仿宋" w:eastAsia="仿宋" w:hAnsi="仿宋" w:cs="仿宋" w:hint="eastAsia"/>
          <w:sz w:val="28"/>
          <w:szCs w:val="28"/>
        </w:rPr>
        <w:t>达</w:t>
      </w:r>
      <w:r>
        <w:rPr>
          <w:rFonts w:ascii="仿宋" w:eastAsia="仿宋" w:hAnsi="仿宋" w:cs="仿宋" w:hint="eastAsia"/>
          <w:sz w:val="28"/>
          <w:szCs w:val="28"/>
        </w:rPr>
        <w:t>1.8</w:t>
      </w:r>
      <w:r>
        <w:rPr>
          <w:rFonts w:ascii="仿宋" w:eastAsia="仿宋" w:hAnsi="仿宋" w:cs="仿宋" w:hint="eastAsia"/>
          <w:sz w:val="28"/>
          <w:szCs w:val="28"/>
        </w:rPr>
        <w:t>亿公斤，是我县无公害蔬菜</w:t>
      </w:r>
      <w:r>
        <w:rPr>
          <w:rFonts w:ascii="仿宋" w:eastAsia="仿宋" w:hAnsi="仿宋" w:cs="仿宋" w:hint="eastAsia"/>
          <w:sz w:val="28"/>
          <w:szCs w:val="28"/>
        </w:rPr>
        <w:t>向</w:t>
      </w:r>
      <w:r>
        <w:rPr>
          <w:rFonts w:ascii="仿宋" w:eastAsia="仿宋" w:hAnsi="仿宋" w:cs="仿宋" w:hint="eastAsia"/>
          <w:sz w:val="28"/>
          <w:szCs w:val="28"/>
        </w:rPr>
        <w:t>全国五省九</w:t>
      </w:r>
      <w:r>
        <w:rPr>
          <w:rFonts w:ascii="仿宋" w:eastAsia="仿宋" w:hAnsi="仿宋" w:cs="仿宋" w:hint="eastAsia"/>
          <w:sz w:val="28"/>
          <w:szCs w:val="28"/>
        </w:rPr>
        <w:t>市</w:t>
      </w:r>
      <w:r>
        <w:rPr>
          <w:rFonts w:ascii="仿宋" w:eastAsia="仿宋" w:hAnsi="仿宋" w:cs="仿宋" w:hint="eastAsia"/>
          <w:sz w:val="28"/>
          <w:szCs w:val="28"/>
        </w:rPr>
        <w:t>二十五个蔬菜市场销售的主要绿色通道。</w:t>
      </w:r>
    </w:p>
    <w:p w:rsidR="003F08AE" w:rsidRDefault="007918ED">
      <w:pPr>
        <w:spacing w:line="6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四、项目概况</w:t>
      </w:r>
    </w:p>
    <w:p w:rsidR="003F08AE" w:rsidRDefault="007918ED">
      <w:pPr>
        <w:spacing w:line="6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内容：</w:t>
      </w:r>
      <w:r>
        <w:rPr>
          <w:rFonts w:ascii="仿宋" w:eastAsia="仿宋" w:hAnsi="仿宋" w:cs="仿宋" w:hint="eastAsia"/>
          <w:sz w:val="28"/>
          <w:szCs w:val="28"/>
        </w:rPr>
        <w:t>该项</w:t>
      </w:r>
      <w:r>
        <w:rPr>
          <w:rFonts w:ascii="仿宋" w:eastAsia="仿宋" w:hAnsi="仿宋" w:cs="仿宋" w:hint="eastAsia"/>
          <w:sz w:val="28"/>
          <w:szCs w:val="28"/>
        </w:rPr>
        <w:t>目</w:t>
      </w:r>
      <w:r>
        <w:rPr>
          <w:rFonts w:ascii="仿宋" w:eastAsia="仿宋" w:hAnsi="仿宋" w:cs="仿宋" w:hint="eastAsia"/>
          <w:sz w:val="28"/>
          <w:szCs w:val="28"/>
        </w:rPr>
        <w:t>投资主要用于设施的完善。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）项目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投资估算：</w:t>
      </w:r>
      <w:r>
        <w:rPr>
          <w:rFonts w:ascii="仿宋" w:eastAsia="仿宋" w:hAnsi="仿宋" w:cs="仿宋" w:hint="eastAsia"/>
          <w:sz w:val="28"/>
          <w:szCs w:val="28"/>
        </w:rPr>
        <w:t>项</w:t>
      </w:r>
      <w:r>
        <w:rPr>
          <w:rFonts w:ascii="仿宋" w:eastAsia="仿宋" w:hAnsi="仿宋" w:cs="仿宋" w:hint="eastAsia"/>
          <w:sz w:val="28"/>
          <w:szCs w:val="28"/>
        </w:rPr>
        <w:t>目</w:t>
      </w:r>
      <w:r>
        <w:rPr>
          <w:rFonts w:ascii="仿宋" w:eastAsia="仿宋" w:hAnsi="仿宋" w:cs="仿宋" w:hint="eastAsia"/>
          <w:sz w:val="28"/>
          <w:szCs w:val="28"/>
        </w:rPr>
        <w:t>总投资</w:t>
      </w:r>
      <w:r>
        <w:rPr>
          <w:rFonts w:ascii="仿宋" w:eastAsia="仿宋" w:hAnsi="仿宋" w:cs="仿宋" w:hint="eastAsia"/>
          <w:sz w:val="28"/>
          <w:szCs w:val="28"/>
        </w:rPr>
        <w:t>11.2</w:t>
      </w:r>
      <w:r>
        <w:rPr>
          <w:rFonts w:ascii="仿宋" w:eastAsia="仿宋" w:hAnsi="仿宋" w:cs="仿宋" w:hint="eastAsia"/>
          <w:sz w:val="28"/>
          <w:szCs w:val="28"/>
        </w:rPr>
        <w:t>亿元，拟引资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.2</w:t>
      </w:r>
      <w:r>
        <w:rPr>
          <w:rFonts w:ascii="仿宋" w:eastAsia="仿宋" w:hAnsi="仿宋" w:cs="仿宋" w:hint="eastAsia"/>
          <w:sz w:val="28"/>
          <w:szCs w:val="28"/>
        </w:rPr>
        <w:t>亿元。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配套条件：</w:t>
      </w:r>
      <w:r>
        <w:rPr>
          <w:rFonts w:ascii="仿宋" w:eastAsia="仿宋" w:hAnsi="仿宋" w:cs="仿宋" w:hint="eastAsia"/>
          <w:sz w:val="28"/>
          <w:szCs w:val="28"/>
        </w:rPr>
        <w:t>场地、道路、水、电、交通通讯及其他配套设施齐全。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项目市场预测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效益分析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该项</w:t>
      </w:r>
      <w:r>
        <w:rPr>
          <w:rFonts w:ascii="仿宋" w:eastAsia="仿宋" w:hAnsi="仿宋" w:cs="仿宋" w:hint="eastAsia"/>
          <w:sz w:val="28"/>
          <w:szCs w:val="28"/>
        </w:rPr>
        <w:t>目</w:t>
      </w:r>
      <w:r>
        <w:rPr>
          <w:rFonts w:ascii="仿宋" w:eastAsia="仿宋" w:hAnsi="仿宋" w:cs="仿宋" w:hint="eastAsia"/>
          <w:sz w:val="28"/>
          <w:szCs w:val="28"/>
        </w:rPr>
        <w:t>正式投产后，预计年可实现销售收入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亿元，利</w:t>
      </w:r>
      <w:r>
        <w:rPr>
          <w:rFonts w:ascii="仿宋" w:eastAsia="仿宋" w:hAnsi="仿宋" w:cs="仿宋" w:hint="eastAsia"/>
          <w:sz w:val="28"/>
          <w:szCs w:val="28"/>
        </w:rPr>
        <w:t>润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亿元。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五、项目进展情况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政策：</w:t>
      </w:r>
      <w:r>
        <w:rPr>
          <w:rFonts w:ascii="仿宋" w:eastAsia="仿宋" w:hAnsi="仿宋" w:cs="仿宋" w:hint="eastAsia"/>
          <w:sz w:val="28"/>
          <w:szCs w:val="28"/>
        </w:rPr>
        <w:t>符合国家产业政策及山西省产业规划；</w:t>
      </w:r>
    </w:p>
    <w:p w:rsidR="003F08AE" w:rsidRDefault="007918ED">
      <w:pPr>
        <w:spacing w:line="64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地、环保：</w:t>
      </w:r>
      <w:r>
        <w:rPr>
          <w:rFonts w:ascii="仿宋" w:eastAsia="仿宋" w:hAnsi="仿宋" w:cs="仿宋" w:hint="eastAsia"/>
          <w:sz w:val="28"/>
          <w:szCs w:val="28"/>
        </w:rPr>
        <w:t>土地、环保手续已经政府部门初审、认可。</w:t>
      </w:r>
    </w:p>
    <w:p w:rsidR="003F08AE" w:rsidRDefault="007918ED">
      <w:pPr>
        <w:spacing w:line="6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六、拟引资方式：</w:t>
      </w:r>
      <w:r>
        <w:rPr>
          <w:rFonts w:ascii="仿宋" w:eastAsia="仿宋" w:hAnsi="仿宋" w:cs="仿宋" w:hint="eastAsia"/>
          <w:sz w:val="28"/>
          <w:szCs w:val="28"/>
        </w:rPr>
        <w:t>合资、合作</w:t>
      </w:r>
    </w:p>
    <w:p w:rsidR="003F08AE" w:rsidRDefault="003F08AE">
      <w:pPr>
        <w:spacing w:line="640" w:lineRule="exact"/>
        <w:rPr>
          <w:rFonts w:ascii="仿宋" w:eastAsia="仿宋" w:hAnsi="仿宋" w:cs="仿宋"/>
          <w:sz w:val="28"/>
          <w:szCs w:val="28"/>
        </w:rPr>
      </w:pPr>
    </w:p>
    <w:sectPr w:rsidR="003F08AE" w:rsidSect="003F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8AE"/>
    <w:rsid w:val="003F08AE"/>
    <w:rsid w:val="007918ED"/>
    <w:rsid w:val="170A5EF8"/>
    <w:rsid w:val="2896341A"/>
    <w:rsid w:val="2F93506B"/>
    <w:rsid w:val="3CD06C5F"/>
    <w:rsid w:val="454B4462"/>
    <w:rsid w:val="500B5DB9"/>
    <w:rsid w:val="776660D8"/>
    <w:rsid w:val="7C5B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8A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2017-04-28T08:34:00Z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