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43C" w:rsidRDefault="00206622">
      <w:pPr>
        <w:pStyle w:val="1"/>
        <w:rPr>
          <w:rStyle w:val="a6"/>
          <w:rFonts w:ascii="黑体" w:eastAsia="黑体" w:hAnsi="黑体" w:cs="黑体"/>
          <w:b w:val="0"/>
          <w:bCs/>
          <w:color w:val="000000"/>
          <w:szCs w:val="32"/>
        </w:rPr>
      </w:pPr>
      <w:r>
        <w:rPr>
          <w:rStyle w:val="a6"/>
          <w:rFonts w:ascii="黑体" w:eastAsia="黑体" w:hAnsi="黑体" w:cs="黑体"/>
          <w:b w:val="0"/>
          <w:bCs/>
          <w:color w:val="000000"/>
          <w:szCs w:val="32"/>
        </w:rPr>
        <w:t>20</w:t>
      </w:r>
      <w:r>
        <w:rPr>
          <w:rStyle w:val="a6"/>
          <w:rFonts w:ascii="黑体" w:eastAsia="黑体" w:hAnsi="黑体" w:cs="黑体" w:hint="eastAsia"/>
          <w:b w:val="0"/>
          <w:bCs/>
          <w:color w:val="000000"/>
          <w:szCs w:val="32"/>
        </w:rPr>
        <w:t>万套汽车变速器壳体、离合器箱体、阀体项</w:t>
      </w:r>
      <w:r>
        <w:rPr>
          <w:rStyle w:val="a6"/>
          <w:rFonts w:ascii="黑体" w:eastAsia="黑体" w:hAnsi="黑体" w:cs="黑体"/>
          <w:b w:val="0"/>
          <w:bCs/>
          <w:color w:val="000000"/>
          <w:szCs w:val="32"/>
        </w:rPr>
        <w:t xml:space="preserve">  </w:t>
      </w:r>
      <w:r>
        <w:rPr>
          <w:rStyle w:val="a6"/>
          <w:rFonts w:ascii="黑体" w:eastAsia="黑体" w:hAnsi="黑体" w:cs="黑体" w:hint="eastAsia"/>
          <w:b w:val="0"/>
          <w:bCs/>
          <w:color w:val="000000"/>
          <w:szCs w:val="32"/>
        </w:rPr>
        <w:t>目</w:t>
      </w:r>
    </w:p>
    <w:p w:rsidR="0093743C" w:rsidRDefault="00206622">
      <w:pPr>
        <w:adjustRightInd w:val="0"/>
        <w:snapToGrid w:val="0"/>
        <w:spacing w:line="380" w:lineRule="exact"/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一、项目名称</w:t>
      </w:r>
    </w:p>
    <w:p w:rsidR="0093743C" w:rsidRDefault="00206622">
      <w:pPr>
        <w:adjustRightInd w:val="0"/>
        <w:snapToGrid w:val="0"/>
        <w:spacing w:line="380" w:lineRule="exact"/>
        <w:ind w:firstLineChars="200" w:firstLine="640"/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  <w:t>20</w:t>
      </w: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万套汽车变速器壳体、离合器箱体、阀体项目</w:t>
      </w:r>
    </w:p>
    <w:p w:rsidR="0093743C" w:rsidRDefault="00206622">
      <w:pPr>
        <w:adjustRightInd w:val="0"/>
        <w:snapToGrid w:val="0"/>
        <w:spacing w:line="380" w:lineRule="exact"/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二、申报单位：永济市经信局</w:t>
      </w:r>
    </w:p>
    <w:p w:rsidR="0093743C" w:rsidRDefault="00206622">
      <w:pPr>
        <w:adjustRightInd w:val="0"/>
        <w:snapToGrid w:val="0"/>
        <w:spacing w:line="380" w:lineRule="exact"/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三、</w:t>
      </w: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项目概况</w:t>
      </w:r>
    </w:p>
    <w:p w:rsidR="0093743C" w:rsidRDefault="00206622">
      <w:pPr>
        <w:adjustRightInd w:val="0"/>
        <w:snapToGrid w:val="0"/>
        <w:spacing w:line="380" w:lineRule="exact"/>
        <w:ind w:firstLineChars="200" w:firstLine="640"/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（一）项目内容</w:t>
      </w:r>
    </w:p>
    <w:p w:rsidR="0093743C" w:rsidRDefault="00206622">
      <w:pPr>
        <w:adjustRightInd w:val="0"/>
        <w:snapToGrid w:val="0"/>
        <w:spacing w:line="380" w:lineRule="exact"/>
        <w:ind w:firstLineChars="200" w:firstLine="640"/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  <w:t>1</w:t>
      </w: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．项目背景</w:t>
      </w: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概况</w:t>
      </w:r>
    </w:p>
    <w:p w:rsidR="0093743C" w:rsidRDefault="00206622">
      <w:pPr>
        <w:adjustRightInd w:val="0"/>
        <w:snapToGrid w:val="0"/>
        <w:spacing w:line="380" w:lineRule="exact"/>
        <w:ind w:firstLineChars="200" w:firstLine="640"/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项目位于山西运城永济铝深加工产业园区内。本项目属汽车零部件制造类建设项目，符合《产业结构调整指导目录》鼓励类。本项目及产品亦符合国家工信部</w:t>
      </w:r>
      <w:r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  <w:t>2010</w:t>
      </w: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  <w:t>5</w:t>
      </w: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月发布的《汽车产业技术进步和技术改造投资方向（</w:t>
      </w:r>
      <w:r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  <w:t>2010</w:t>
      </w: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年）》的产业政策，在该文件“变速器”一款中，包括的项目或产品名称是：乘用车六挡以上手动变速器、乘用车双离合器式自动变速器、商用车自动控制机械变速器、小型乘用车自动控制机械变速器、自动变速器执行器（电磁阀）、液力缓速器、电涡流缓速器、变速器电控单元（</w:t>
      </w:r>
      <w:r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  <w:t>TCU</w:t>
      </w: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）。为国家鼓励发展产业和项目。</w:t>
      </w:r>
    </w:p>
    <w:p w:rsidR="0093743C" w:rsidRDefault="00206622">
      <w:pPr>
        <w:adjustRightInd w:val="0"/>
        <w:snapToGrid w:val="0"/>
        <w:spacing w:line="380" w:lineRule="exact"/>
        <w:ind w:firstLineChars="200" w:firstLine="640"/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  <w:t>2</w:t>
      </w: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．项目建设内容及规模</w:t>
      </w:r>
    </w:p>
    <w:p w:rsidR="0093743C" w:rsidRDefault="00206622">
      <w:pPr>
        <w:adjustRightInd w:val="0"/>
        <w:snapToGrid w:val="0"/>
        <w:spacing w:line="380" w:lineRule="exact"/>
        <w:ind w:firstLineChars="200" w:firstLine="640"/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建设规模为</w:t>
      </w:r>
      <w:r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  <w:t>20</w:t>
      </w: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万套汽车变速器壳体、离合器箱体、阀体，占地面积</w:t>
      </w:r>
      <w:r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  <w:t>65670</w:t>
      </w: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平方米，主要设备包括</w:t>
      </w:r>
      <w:r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  <w:t>2500t</w:t>
      </w: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压铸机</w:t>
      </w:r>
      <w:r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  <w:t>3</w:t>
      </w: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台、</w:t>
      </w:r>
      <w:r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  <w:t>500kg</w:t>
      </w: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机边炉</w:t>
      </w:r>
      <w:r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  <w:t>3</w:t>
      </w: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台、去毛刺机</w:t>
      </w:r>
      <w:r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  <w:t>10</w:t>
      </w: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台、抛丸机</w:t>
      </w:r>
      <w:r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  <w:t>4</w:t>
      </w: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台、卧式加工中心</w:t>
      </w:r>
      <w:r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  <w:t>26</w:t>
      </w: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台、立式加工中心</w:t>
      </w:r>
      <w:r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  <w:t>4</w:t>
      </w: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台、检验包装线</w:t>
      </w:r>
      <w:r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  <w:t>2</w:t>
      </w: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条。</w:t>
      </w:r>
    </w:p>
    <w:p w:rsidR="0093743C" w:rsidRDefault="00206622">
      <w:pPr>
        <w:adjustRightInd w:val="0"/>
        <w:snapToGrid w:val="0"/>
        <w:spacing w:line="380" w:lineRule="exact"/>
        <w:ind w:firstLineChars="200" w:firstLine="640"/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（二）项目投资估算</w:t>
      </w:r>
    </w:p>
    <w:p w:rsidR="0093743C" w:rsidRDefault="00206622">
      <w:pPr>
        <w:adjustRightInd w:val="0"/>
        <w:snapToGrid w:val="0"/>
        <w:spacing w:line="380" w:lineRule="exact"/>
        <w:ind w:firstLineChars="200" w:firstLine="640"/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项目总投资</w:t>
      </w:r>
      <w:r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  <w:t>1.5</w:t>
      </w: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亿元人民币，其中项目企业自筹</w:t>
      </w:r>
      <w:r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  <w:t>0.3</w:t>
      </w: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亿元，拟贷款</w:t>
      </w:r>
      <w:r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  <w:t>1.2</w:t>
      </w: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亿元。</w:t>
      </w:r>
    </w:p>
    <w:p w:rsidR="0093743C" w:rsidRDefault="00206622">
      <w:pPr>
        <w:adjustRightInd w:val="0"/>
        <w:snapToGrid w:val="0"/>
        <w:spacing w:line="380" w:lineRule="exact"/>
        <w:ind w:firstLineChars="200" w:firstLine="640"/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（三）项目配套条件</w:t>
      </w:r>
    </w:p>
    <w:p w:rsidR="0093743C" w:rsidRDefault="00206622">
      <w:pPr>
        <w:adjustRightInd w:val="0"/>
        <w:snapToGrid w:val="0"/>
        <w:spacing w:line="380" w:lineRule="exact"/>
        <w:ind w:firstLineChars="200" w:firstLine="640"/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近年来，园区累计完成固定资产投资</w:t>
      </w:r>
      <w:r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  <w:t>60</w:t>
      </w: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亿元，形成了“三纵一横”道路框架。同时，建有</w:t>
      </w:r>
      <w:r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  <w:t>110kV</w:t>
      </w: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变电站</w:t>
      </w:r>
      <w:r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  <w:t>1</w:t>
      </w: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座，日处理</w:t>
      </w:r>
      <w:r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  <w:t>5000</w:t>
      </w: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吨污水处理厂</w:t>
      </w:r>
      <w:r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  <w:t>1</w:t>
      </w: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座，铺设供水管道</w:t>
      </w:r>
      <w:r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  <w:t>6500</w:t>
      </w: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米、排污管道</w:t>
      </w:r>
      <w:r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  <w:t>4000</w:t>
      </w: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米、天然气管道</w:t>
      </w:r>
      <w:r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  <w:t>5000</w:t>
      </w: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米，区内水、电、气、路及污水处理等公共基础设施基本齐备。</w:t>
      </w:r>
    </w:p>
    <w:p w:rsidR="0093743C" w:rsidRDefault="00206622">
      <w:pPr>
        <w:adjustRightInd w:val="0"/>
        <w:snapToGrid w:val="0"/>
        <w:spacing w:line="380" w:lineRule="exact"/>
        <w:ind w:firstLineChars="200" w:firstLine="640"/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（四）项目</w:t>
      </w: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市场预测及</w:t>
      </w: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效益简析</w:t>
      </w:r>
    </w:p>
    <w:p w:rsidR="0093743C" w:rsidRDefault="00206622">
      <w:pPr>
        <w:adjustRightInd w:val="0"/>
        <w:snapToGrid w:val="0"/>
        <w:spacing w:line="380" w:lineRule="exact"/>
        <w:ind w:firstLineChars="200" w:firstLine="640"/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项目年销售收入</w:t>
      </w:r>
      <w:r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  <w:t>3</w:t>
      </w: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亿元，年产值</w:t>
      </w:r>
      <w:r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  <w:t>2.55</w:t>
      </w: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亿元</w:t>
      </w: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，年利税</w:t>
      </w:r>
      <w:r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  <w:t>0.35</w:t>
      </w: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亿元。</w:t>
      </w:r>
    </w:p>
    <w:p w:rsidR="0093743C" w:rsidRDefault="00206622">
      <w:pPr>
        <w:adjustRightInd w:val="0"/>
        <w:snapToGrid w:val="0"/>
        <w:spacing w:line="380" w:lineRule="exact"/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四</w:t>
      </w: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、项目进展情况</w:t>
      </w:r>
    </w:p>
    <w:p w:rsidR="0093743C" w:rsidRDefault="00206622">
      <w:pPr>
        <w:adjustRightInd w:val="0"/>
        <w:snapToGrid w:val="0"/>
        <w:spacing w:line="380" w:lineRule="exact"/>
        <w:ind w:firstLineChars="200" w:firstLine="640"/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（一）政策</w:t>
      </w:r>
    </w:p>
    <w:p w:rsidR="0093743C" w:rsidRDefault="00206622">
      <w:pPr>
        <w:adjustRightInd w:val="0"/>
        <w:snapToGrid w:val="0"/>
        <w:spacing w:line="380" w:lineRule="exact"/>
        <w:ind w:firstLineChars="200" w:firstLine="640"/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项目《产业结构指导目录（</w:t>
      </w:r>
      <w:r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  <w:t>2011</w:t>
      </w: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）》允许类项目；《铝工业“十二五”规划》；符合《山西省经济和信息化委员会关于运城铝工业产业基地“十二五”发展规划的批复》；《山西省工业园区和新型工业化产业示范基地“十二五”发展规划》；《永济市工业“十二五”发展规划》。</w:t>
      </w:r>
    </w:p>
    <w:p w:rsidR="0093743C" w:rsidRDefault="00206622">
      <w:pPr>
        <w:adjustRightInd w:val="0"/>
        <w:snapToGrid w:val="0"/>
        <w:spacing w:line="380" w:lineRule="exact"/>
        <w:ind w:firstLineChars="200" w:firstLine="640"/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（二）核准备案</w:t>
      </w:r>
    </w:p>
    <w:p w:rsidR="0093743C" w:rsidRDefault="00206622">
      <w:pPr>
        <w:adjustRightInd w:val="0"/>
        <w:snapToGrid w:val="0"/>
        <w:spacing w:line="380" w:lineRule="exact"/>
        <w:ind w:firstLineChars="200" w:firstLine="640"/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项目处于规划阶段，尚未向投资主管部门申报立项。</w:t>
      </w:r>
    </w:p>
    <w:p w:rsidR="0093743C" w:rsidRDefault="00206622">
      <w:pPr>
        <w:adjustRightInd w:val="0"/>
        <w:snapToGrid w:val="0"/>
        <w:spacing w:line="380" w:lineRule="exact"/>
        <w:ind w:firstLineChars="200" w:firstLine="640"/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（三）土地、环保</w:t>
      </w:r>
    </w:p>
    <w:p w:rsidR="0093743C" w:rsidRDefault="00206622">
      <w:pPr>
        <w:adjustRightInd w:val="0"/>
        <w:snapToGrid w:val="0"/>
        <w:spacing w:line="380" w:lineRule="exact"/>
        <w:ind w:firstLineChars="200" w:firstLine="640"/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项目处于规划阶段，尚未向国土、环保部门办理用地、环评手续。</w:t>
      </w:r>
    </w:p>
    <w:p w:rsidR="0093743C" w:rsidRDefault="00206622">
      <w:pPr>
        <w:adjustRightInd w:val="0"/>
        <w:snapToGrid w:val="0"/>
        <w:spacing w:line="380" w:lineRule="exact"/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五</w:t>
      </w: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、拟引资方式</w:t>
      </w:r>
    </w:p>
    <w:p w:rsidR="0093743C" w:rsidRDefault="00206622">
      <w:pPr>
        <w:adjustRightInd w:val="0"/>
        <w:snapToGrid w:val="0"/>
        <w:spacing w:line="380" w:lineRule="exact"/>
        <w:ind w:firstLineChars="200" w:firstLine="640"/>
        <w:rPr>
          <w:rStyle w:val="a6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</w:rPr>
        <w:t>山东裕隆金和精密机械、阳煤千军铝业有限公司，独资。</w:t>
      </w:r>
    </w:p>
    <w:p w:rsidR="0093743C" w:rsidRDefault="00206622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sectPr w:rsidR="0093743C" w:rsidSect="009374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622" w:rsidRDefault="00206622" w:rsidP="0093743C">
      <w:r>
        <w:separator/>
      </w:r>
    </w:p>
  </w:endnote>
  <w:endnote w:type="continuationSeparator" w:id="0">
    <w:p w:rsidR="00206622" w:rsidRDefault="00206622" w:rsidP="00937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43C" w:rsidRDefault="0093743C">
    <w:pPr>
      <w:pStyle w:val="a3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43C" w:rsidRDefault="0093743C">
    <w:pPr>
      <w:pStyle w:val="a3"/>
      <w:rPr>
        <w:rFonts w:hint="eastAsia"/>
      </w:rPr>
    </w:pPr>
    <w:r>
      <w:rPr>
        <w:rFonts w:hint="eastAsi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" filled="f" stroked="f" strokeweight=".5pt">
          <v:textbox style="mso-fit-shape-to-text:t" inset="0,0,0,0">
            <w:txbxContent>
              <w:p w:rsidR="0093743C" w:rsidRDefault="0093743C">
                <w:pPr>
                  <w:snapToGrid w:val="0"/>
                  <w:rPr>
                    <w:rFonts w:hint="eastAsia"/>
                    <w:sz w:val="18"/>
                  </w:rPr>
                </w:pPr>
                <w:r w:rsidRPr="0093743C">
                  <w:fldChar w:fldCharType="begin"/>
                </w:r>
                <w:r w:rsidR="00206622">
                  <w:instrText xml:space="preserve"> PAGE  \* MERGEFORMAT </w:instrText>
                </w:r>
                <w:r w:rsidRPr="0093743C">
                  <w:fldChar w:fldCharType="separate"/>
                </w:r>
                <w:r w:rsidR="00F33ED1" w:rsidRPr="00F33ED1">
                  <w:rPr>
                    <w:rFonts w:hint="eastAsia"/>
                    <w:noProof/>
                    <w:sz w:val="18"/>
                  </w:rPr>
                  <w:t>2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43C" w:rsidRDefault="0093743C">
    <w:pPr>
      <w:pStyle w:val="a3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622" w:rsidRDefault="00206622" w:rsidP="0093743C">
      <w:r>
        <w:separator/>
      </w:r>
    </w:p>
  </w:footnote>
  <w:footnote w:type="continuationSeparator" w:id="0">
    <w:p w:rsidR="00206622" w:rsidRDefault="00206622" w:rsidP="009374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43C" w:rsidRDefault="0093743C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43C" w:rsidRDefault="0093743C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43C" w:rsidRDefault="0093743C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2AA678A"/>
    <w:rsid w:val="00206622"/>
    <w:rsid w:val="002438DB"/>
    <w:rsid w:val="006D7F7C"/>
    <w:rsid w:val="0093743C"/>
    <w:rsid w:val="00B92F54"/>
    <w:rsid w:val="00BB1B42"/>
    <w:rsid w:val="00E67FCD"/>
    <w:rsid w:val="00F33ED1"/>
    <w:rsid w:val="02AA678A"/>
    <w:rsid w:val="0B7E150C"/>
    <w:rsid w:val="27D470E7"/>
    <w:rsid w:val="3316496A"/>
    <w:rsid w:val="3A6E43E5"/>
    <w:rsid w:val="596A3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semiHidden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3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93743C"/>
    <w:pPr>
      <w:keepNext/>
      <w:keepLines/>
      <w:spacing w:line="576" w:lineRule="auto"/>
      <w:jc w:val="center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3743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rsid w:val="0093743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Title"/>
    <w:basedOn w:val="a"/>
    <w:link w:val="Char1"/>
    <w:uiPriority w:val="99"/>
    <w:qFormat/>
    <w:rsid w:val="0093743C"/>
    <w:pPr>
      <w:jc w:val="center"/>
      <w:outlineLvl w:val="0"/>
    </w:pPr>
    <w:rPr>
      <w:rFonts w:ascii="Arial" w:hAnsi="Arial"/>
      <w:b/>
      <w:sz w:val="32"/>
    </w:rPr>
  </w:style>
  <w:style w:type="character" w:styleId="a6">
    <w:name w:val="Hyperlink"/>
    <w:basedOn w:val="a0"/>
    <w:uiPriority w:val="99"/>
    <w:qFormat/>
    <w:rsid w:val="0093743C"/>
    <w:rPr>
      <w:rFonts w:cs="Times New Roman"/>
      <w:color w:val="0000FF"/>
      <w:u w:val="none"/>
    </w:rPr>
  </w:style>
  <w:style w:type="character" w:customStyle="1" w:styleId="1Char">
    <w:name w:val="标题 1 Char"/>
    <w:basedOn w:val="a0"/>
    <w:link w:val="1"/>
    <w:uiPriority w:val="9"/>
    <w:rsid w:val="0093743C"/>
    <w:rPr>
      <w:b/>
      <w:bCs/>
      <w:kern w:val="44"/>
      <w:sz w:val="44"/>
      <w:szCs w:val="44"/>
    </w:rPr>
  </w:style>
  <w:style w:type="character" w:customStyle="1" w:styleId="Char">
    <w:name w:val="页脚 Char"/>
    <w:basedOn w:val="a0"/>
    <w:link w:val="a3"/>
    <w:uiPriority w:val="99"/>
    <w:semiHidden/>
    <w:rsid w:val="0093743C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3743C"/>
    <w:rPr>
      <w:sz w:val="18"/>
      <w:szCs w:val="18"/>
    </w:rPr>
  </w:style>
  <w:style w:type="character" w:customStyle="1" w:styleId="Char1">
    <w:name w:val="标题 Char"/>
    <w:basedOn w:val="a0"/>
    <w:link w:val="a5"/>
    <w:uiPriority w:val="10"/>
    <w:rsid w:val="0093743C"/>
    <w:rPr>
      <w:rFonts w:ascii="Cambria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</dc:creator>
  <cp:lastModifiedBy>Administrator</cp:lastModifiedBy>
  <cp:revision>4</cp:revision>
  <dcterms:created xsi:type="dcterms:W3CDTF">2016-11-28T02:48:00Z</dcterms:created>
  <dcterms:modified xsi:type="dcterms:W3CDTF">2017-04-28T08:26:00Z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