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8F" w:rsidRDefault="00BD132F">
      <w:pPr>
        <w:tabs>
          <w:tab w:val="left" w:pos="1582"/>
        </w:tabs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智慧农村建设项目</w:t>
      </w:r>
    </w:p>
    <w:p w:rsidR="0070068F" w:rsidRDefault="00BD132F">
      <w:pPr>
        <w:tabs>
          <w:tab w:val="left" w:pos="1582"/>
        </w:tabs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项目名称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: </w:t>
      </w:r>
      <w:r>
        <w:rPr>
          <w:rFonts w:ascii="仿宋_GB2312" w:eastAsia="仿宋_GB2312" w:hAnsi="仿宋_GB2312" w:cs="仿宋_GB2312" w:hint="eastAsia"/>
          <w:sz w:val="28"/>
          <w:szCs w:val="28"/>
        </w:rPr>
        <w:t>智慧农村建设</w:t>
      </w:r>
    </w:p>
    <w:p w:rsidR="0070068F" w:rsidRDefault="00BD132F">
      <w:pPr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申报单位：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平定县招商局</w:t>
      </w:r>
    </w:p>
    <w:p w:rsidR="0070068F" w:rsidRDefault="00BD132F">
      <w:pPr>
        <w:tabs>
          <w:tab w:val="left" w:pos="1582"/>
        </w:tabs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三、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项目概况：</w:t>
      </w:r>
      <w:bookmarkStart w:id="0" w:name="_GoBack"/>
      <w:bookmarkEnd w:id="0"/>
    </w:p>
    <w:p w:rsidR="0070068F" w:rsidRDefault="00BD132F" w:rsidP="006954A5">
      <w:pPr>
        <w:numPr>
          <w:ilvl w:val="0"/>
          <w:numId w:val="1"/>
        </w:numPr>
        <w:tabs>
          <w:tab w:val="left" w:pos="1582"/>
        </w:tabs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项目内容</w:t>
      </w:r>
    </w:p>
    <w:p w:rsidR="0070068F" w:rsidRDefault="00BD132F">
      <w:pPr>
        <w:tabs>
          <w:tab w:val="left" w:pos="1582"/>
        </w:tabs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保留原有农林业，进行科技农业、林下药材、智慧养殖、智慧旅游业的发展，建设农业种植，畜牧养殖，林下药材，山庄旅游基地。项目建设运用高新技术改造传统农业、加快农业现代化的载体和平台，是农业高新技术示范、推广、应用的基地。该项目建设将促进阳泉市区域经济发展，推动我省农业产业结构调整，增加农民收入，带动农民脱贫致富，促进新农村建设，促进智慧药材林的发展。建设高标准农业科技园，形成小杂粮、蔬菜、水果、中药材、畜牧养殖、旅游四大支柱产业。</w:t>
      </w:r>
    </w:p>
    <w:p w:rsidR="0070068F" w:rsidRDefault="00BD132F" w:rsidP="006954A5">
      <w:pPr>
        <w:numPr>
          <w:ilvl w:val="0"/>
          <w:numId w:val="1"/>
        </w:numPr>
        <w:tabs>
          <w:tab w:val="left" w:pos="1582"/>
        </w:tabs>
        <w:spacing w:line="360" w:lineRule="auto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项目投资估算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</w:t>
      </w:r>
      <w:r>
        <w:rPr>
          <w:rFonts w:ascii="仿宋_GB2312" w:eastAsia="仿宋_GB2312" w:hAnsi="仿宋_GB2312" w:cs="仿宋_GB2312" w:hint="eastAsia"/>
          <w:sz w:val="28"/>
          <w:szCs w:val="28"/>
        </w:rPr>
        <w:t>总投资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亿</w:t>
      </w:r>
      <w:r>
        <w:rPr>
          <w:rFonts w:ascii="仿宋_GB2312" w:eastAsia="仿宋_GB2312" w:hAnsi="仿宋_GB2312" w:cs="仿宋_GB2312" w:hint="eastAsia"/>
          <w:sz w:val="28"/>
          <w:szCs w:val="28"/>
        </w:rPr>
        <w:t>元。</w:t>
      </w:r>
    </w:p>
    <w:p w:rsidR="0070068F" w:rsidRDefault="00BD132F">
      <w:pPr>
        <w:pStyle w:val="0"/>
        <w:snapToGrid w:val="0"/>
        <w:spacing w:beforeAutospacing="0" w:afterAutospacing="0" w:line="360" w:lineRule="auto"/>
        <w:jc w:val="both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三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项目配套条件：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该项目初步选在冶西镇琅浒村建设，等条件成熟了在全县的生态古村落推广建设。琅浒村有项目建设的天然条件，有利于项目的建设。</w:t>
      </w:r>
    </w:p>
    <w:p w:rsidR="0070068F" w:rsidRDefault="00BD132F">
      <w:pPr>
        <w:pStyle w:val="0"/>
        <w:snapToGrid w:val="0"/>
        <w:spacing w:beforeAutospacing="0" w:afterAutospacing="0" w:line="360" w:lineRule="auto"/>
        <w:ind w:firstLine="560"/>
        <w:jc w:val="both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（四）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项目市场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预测及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效益分析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该项目整体完工，建成投产后，年销售收入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亿元人民币，年利润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3000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万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元人民币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，年上缴税收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1500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万元，安排职工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300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余人。</w:t>
      </w:r>
    </w:p>
    <w:p w:rsidR="0070068F" w:rsidRDefault="00BD132F">
      <w:pPr>
        <w:tabs>
          <w:tab w:val="left" w:pos="1582"/>
        </w:tabs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四、项目进展情况</w:t>
      </w:r>
    </w:p>
    <w:p w:rsidR="0070068F" w:rsidRDefault="00BD132F">
      <w:pPr>
        <w:tabs>
          <w:tab w:val="left" w:pos="1582"/>
        </w:tabs>
        <w:rPr>
          <w:rFonts w:ascii="仿宋_GB2312" w:eastAsia="仿宋_GB2312" w:hAnsi="黑体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（一）该项目符合国家产业政策及土地、环保等规定。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   </w:t>
      </w:r>
    </w:p>
    <w:p w:rsidR="0070068F" w:rsidRDefault="00BD132F" w:rsidP="006954A5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黑体" w:hint="eastAsia"/>
          <w:color w:val="000000"/>
          <w:sz w:val="28"/>
          <w:szCs w:val="28"/>
        </w:rPr>
        <w:t>（二）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该项目的修建性详细规划已完成初步成果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70068F" w:rsidRDefault="00BD132F" w:rsidP="006954A5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（三）该项目设计方案已开始初设。</w:t>
      </w:r>
    </w:p>
    <w:p w:rsidR="0070068F" w:rsidRDefault="00BD132F">
      <w:pPr>
        <w:tabs>
          <w:tab w:val="left" w:pos="1582"/>
        </w:tabs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五、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拟引资方式：</w:t>
      </w:r>
      <w:r>
        <w:rPr>
          <w:rFonts w:ascii="仿宋_GB2312" w:eastAsia="仿宋_GB2312" w:hAnsi="仿宋_GB2312" w:cs="仿宋_GB2312" w:hint="eastAsia"/>
          <w:sz w:val="28"/>
          <w:szCs w:val="28"/>
        </w:rPr>
        <w:t>合</w:t>
      </w:r>
      <w:r>
        <w:rPr>
          <w:rFonts w:ascii="仿宋_GB2312" w:eastAsia="仿宋_GB2312" w:hAnsi="仿宋_GB2312" w:cs="仿宋_GB2312" w:hint="eastAsia"/>
          <w:sz w:val="28"/>
          <w:szCs w:val="28"/>
        </w:rPr>
        <w:t>资</w:t>
      </w:r>
      <w:r>
        <w:rPr>
          <w:rFonts w:ascii="仿宋_GB2312" w:eastAsia="仿宋_GB2312" w:hAnsi="仿宋_GB2312" w:cs="仿宋_GB2312" w:hint="eastAsia"/>
          <w:sz w:val="28"/>
          <w:szCs w:val="28"/>
        </w:rPr>
        <w:t>、合作</w:t>
      </w:r>
    </w:p>
    <w:p w:rsidR="0070068F" w:rsidRDefault="00BD132F" w:rsidP="006954A5">
      <w:pPr>
        <w:tabs>
          <w:tab w:val="left" w:pos="1582"/>
        </w:tabs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</w:p>
    <w:p w:rsidR="0070068F" w:rsidRDefault="0070068F">
      <w:pPr>
        <w:rPr>
          <w:rFonts w:hint="eastAsia"/>
          <w:sz w:val="28"/>
          <w:szCs w:val="28"/>
        </w:rPr>
      </w:pPr>
    </w:p>
    <w:sectPr w:rsidR="0070068F" w:rsidSect="00700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2F" w:rsidRDefault="00BD132F" w:rsidP="0070068F">
      <w:r>
        <w:separator/>
      </w:r>
    </w:p>
  </w:endnote>
  <w:endnote w:type="continuationSeparator" w:id="0">
    <w:p w:rsidR="00BD132F" w:rsidRDefault="00BD132F" w:rsidP="00700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8F" w:rsidRDefault="0070068F">
    <w:pPr>
      <w:pStyle w:val="a3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8F" w:rsidRDefault="0070068F">
    <w:pPr>
      <w:pStyle w:val="a3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8F" w:rsidRDefault="0070068F">
    <w:pPr>
      <w:pStyle w:val="a3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2F" w:rsidRDefault="00BD132F" w:rsidP="0070068F">
      <w:r>
        <w:separator/>
      </w:r>
    </w:p>
  </w:footnote>
  <w:footnote w:type="continuationSeparator" w:id="0">
    <w:p w:rsidR="00BD132F" w:rsidRDefault="00BD132F" w:rsidP="00700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8F" w:rsidRDefault="0070068F">
    <w:pPr>
      <w:pStyle w:val="a4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8F" w:rsidRDefault="0070068F">
    <w:pPr>
      <w:pStyle w:val="a4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8F" w:rsidRDefault="0070068F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3FF95"/>
    <w:multiLevelType w:val="singleLevel"/>
    <w:tmpl w:val="5553FF95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971AC6"/>
    <w:rsid w:val="006954A5"/>
    <w:rsid w:val="0070068F"/>
    <w:rsid w:val="00BD132F"/>
    <w:rsid w:val="00F963C8"/>
    <w:rsid w:val="09E75529"/>
    <w:rsid w:val="1689233B"/>
    <w:rsid w:val="2C971AC6"/>
    <w:rsid w:val="478502E0"/>
    <w:rsid w:val="4CD54F16"/>
    <w:rsid w:val="546C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68F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00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00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0">
    <w:name w:val="0"/>
    <w:basedOn w:val="a"/>
    <w:qFormat/>
    <w:rsid w:val="0070068F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2016-11-09T02:29:00Z</dcterms:created>
  <dcterms:modified xsi:type="dcterms:W3CDTF">2017-04-25T09:35:00Z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