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9F" w:rsidRDefault="009C079F" w:rsidP="00713D40">
      <w:pPr>
        <w:pStyle w:val="p0"/>
        <w:spacing w:afterLines="50" w:line="5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</w:p>
    <w:p w:rsidR="009C079F" w:rsidRDefault="00713D40" w:rsidP="00713D40">
      <w:pPr>
        <w:pStyle w:val="p0"/>
        <w:spacing w:afterLines="50" w:line="50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轨道交通铝材深加工项目</w:t>
      </w:r>
    </w:p>
    <w:p w:rsidR="009C079F" w:rsidRDefault="00713D40" w:rsidP="00713D40">
      <w:pPr>
        <w:pStyle w:val="p0"/>
        <w:numPr>
          <w:ilvl w:val="0"/>
          <w:numId w:val="1"/>
        </w:numPr>
        <w:spacing w:line="5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项目名称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轨道交通铝材深加工项目</w:t>
      </w:r>
    </w:p>
    <w:p w:rsidR="009C079F" w:rsidRDefault="00713D40" w:rsidP="00713D40">
      <w:pPr>
        <w:pStyle w:val="p0"/>
        <w:numPr>
          <w:ilvl w:val="0"/>
          <w:numId w:val="2"/>
        </w:numPr>
        <w:spacing w:line="5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申报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永济市招商局</w:t>
      </w:r>
    </w:p>
    <w:p w:rsidR="009C079F" w:rsidRDefault="00713D40" w:rsidP="00713D40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三、项目概况</w:t>
      </w:r>
    </w:p>
    <w:p w:rsidR="009C079F" w:rsidRDefault="00713D40" w:rsidP="00713D40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项目内容</w:t>
      </w:r>
    </w:p>
    <w:p w:rsidR="009C079F" w:rsidRDefault="00713D40" w:rsidP="00713D40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、项目背景概况：</w:t>
      </w:r>
      <w:r>
        <w:rPr>
          <w:rFonts w:ascii="仿宋_GB2312" w:eastAsia="仿宋_GB2312" w:hAnsi="仿宋_GB2312" w:cs="仿宋_GB2312" w:hint="eastAsia"/>
          <w:sz w:val="28"/>
          <w:szCs w:val="28"/>
        </w:rPr>
        <w:t>作为轨道车辆最主要的用材，用于零部件及车辆车身制造等，附加值高。永济市拥有优势的铝产业集群，可迅速切入轨道交通用铝材，为未来机车车辆制造打下雄厚的原材料基础。</w:t>
      </w:r>
    </w:p>
    <w:p w:rsidR="009C079F" w:rsidRDefault="00713D40">
      <w:pPr>
        <w:pStyle w:val="p0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、项目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建设内容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及规模：</w:t>
      </w:r>
      <w:r>
        <w:rPr>
          <w:rFonts w:ascii="仿宋_GB2312" w:eastAsia="仿宋_GB2312" w:hAnsi="仿宋_GB2312" w:cs="仿宋_GB2312" w:hint="eastAsia"/>
          <w:sz w:val="28"/>
          <w:szCs w:val="28"/>
        </w:rPr>
        <w:t>铝、铝合金、轨道车辆大型中空铝型材、板材、管材等，新建生产线及设备。</w:t>
      </w:r>
    </w:p>
    <w:p w:rsidR="009C079F" w:rsidRDefault="00713D40">
      <w:pPr>
        <w:pStyle w:val="p0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（二）项目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投资估算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预计项目总投资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亿元。</w:t>
      </w:r>
    </w:p>
    <w:p w:rsidR="009C079F" w:rsidRDefault="00713D40">
      <w:pPr>
        <w:pStyle w:val="p0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（三）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项目配套条件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该项目拟建于铝深加工产业园区，与华圣铝业</w:t>
      </w:r>
      <w:r>
        <w:rPr>
          <w:rFonts w:ascii="仿宋_GB2312" w:eastAsia="仿宋_GB2312" w:hAnsi="仿宋_GB2312" w:cs="仿宋_GB2312" w:hint="eastAsia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万吨电解铝项目相邻，原料就近提供，大大减少了运输费用。园区内交通便利，基础设施完善，已达到“五通一平”。</w:t>
      </w:r>
    </w:p>
    <w:p w:rsidR="009C079F" w:rsidRDefault="00713D40">
      <w:pPr>
        <w:pStyle w:val="p0"/>
        <w:spacing w:line="500" w:lineRule="exact"/>
        <w:ind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（四）项目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市场预测及效益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分析：</w:t>
      </w:r>
      <w:r>
        <w:rPr>
          <w:rFonts w:ascii="仿宋_GB2312" w:eastAsia="仿宋_GB2312" w:hAnsi="仿宋_GB2312" w:cs="仿宋_GB2312" w:hint="eastAsia"/>
          <w:sz w:val="28"/>
          <w:szCs w:val="28"/>
        </w:rPr>
        <w:t>该项目市场前景广阔，建成投产后，年生产型材及板材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万吨，预计年销售收入约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亿元。</w:t>
      </w:r>
    </w:p>
    <w:p w:rsidR="009C079F" w:rsidRDefault="00713D40">
      <w:pPr>
        <w:pStyle w:val="p0"/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四、项目进展情况</w:t>
      </w:r>
    </w:p>
    <w:p w:rsidR="009C079F" w:rsidRDefault="00713D40">
      <w:pPr>
        <w:adjustRightInd/>
        <w:snapToGrid/>
        <w:spacing w:line="480" w:lineRule="exact"/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（一）政策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符合国家、产业政策及山西省产业规划；</w:t>
      </w:r>
    </w:p>
    <w:p w:rsidR="009C079F" w:rsidRDefault="00713D40">
      <w:pPr>
        <w:adjustRightInd/>
        <w:snapToGrid/>
        <w:spacing w:line="480" w:lineRule="exact"/>
        <w:ind w:firstLine="60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）土地、环保：</w:t>
      </w:r>
      <w:r>
        <w:rPr>
          <w:rFonts w:ascii="仿宋" w:eastAsia="仿宋" w:hAnsi="仿宋" w:cs="仿宋" w:hint="eastAsia"/>
          <w:sz w:val="28"/>
          <w:szCs w:val="28"/>
        </w:rPr>
        <w:t>符合国家土地政策及环保规定，经相关国土部门及环保部门初审认可。</w:t>
      </w:r>
    </w:p>
    <w:p w:rsidR="009C079F" w:rsidRDefault="00713D40" w:rsidP="00713D40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、拟引资方式：</w:t>
      </w:r>
    </w:p>
    <w:p w:rsidR="009C079F" w:rsidRDefault="00713D40" w:rsidP="00713D40">
      <w:pPr>
        <w:pStyle w:val="p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独资、合资、合作及其他</w:t>
      </w:r>
    </w:p>
    <w:p w:rsidR="009C079F" w:rsidRDefault="009C079F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C079F" w:rsidSect="009C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decorative"/>
    <w:pitch w:val="default"/>
    <w:sig w:usb0="00000000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0F01"/>
    <w:multiLevelType w:val="singleLevel"/>
    <w:tmpl w:val="52A90F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2A90F0E"/>
    <w:multiLevelType w:val="singleLevel"/>
    <w:tmpl w:val="52A90F0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173861"/>
    <w:rsid w:val="00713D40"/>
    <w:rsid w:val="009C079F"/>
    <w:rsid w:val="0E7A3DD8"/>
    <w:rsid w:val="18F95458"/>
    <w:rsid w:val="27D470E7"/>
    <w:rsid w:val="2D707EBA"/>
    <w:rsid w:val="2F4905A9"/>
    <w:rsid w:val="3316496A"/>
    <w:rsid w:val="35383FD2"/>
    <w:rsid w:val="3A6E43E5"/>
    <w:rsid w:val="4B895FFF"/>
    <w:rsid w:val="596A3512"/>
    <w:rsid w:val="71173861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79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qFormat/>
    <w:rsid w:val="009C079F"/>
    <w:pPr>
      <w:keepNext/>
      <w:keepLines/>
      <w:spacing w:line="576" w:lineRule="auto"/>
      <w:jc w:val="center"/>
      <w:outlineLvl w:val="0"/>
    </w:pPr>
    <w:rPr>
      <w:rFonts w:asciiTheme="minorHAnsi" w:eastAsiaTheme="minorEastAsia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079F"/>
    <w:pPr>
      <w:jc w:val="center"/>
      <w:outlineLvl w:val="0"/>
    </w:pPr>
    <w:rPr>
      <w:rFonts w:ascii="Arial" w:hAnsi="Arial"/>
      <w:b/>
      <w:sz w:val="32"/>
    </w:rPr>
  </w:style>
  <w:style w:type="paragraph" w:customStyle="1" w:styleId="p0">
    <w:name w:val="p0"/>
    <w:basedOn w:val="a"/>
    <w:qFormat/>
    <w:rsid w:val="009C079F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3</cp:revision>
  <dcterms:created xsi:type="dcterms:W3CDTF">2016-11-28T03:33:00Z</dcterms:created>
  <dcterms:modified xsi:type="dcterms:W3CDTF">2017-04-24T07:28:00Z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