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41" w:rsidRDefault="009B45E8">
      <w:pPr>
        <w:widowControl/>
        <w:spacing w:line="380" w:lineRule="atLeas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和顺县生态休闲避暑旅游集散地综合开发项目</w:t>
      </w:r>
    </w:p>
    <w:p w:rsidR="00AA0041" w:rsidRDefault="00AA0041">
      <w:pPr>
        <w:widowControl/>
        <w:spacing w:line="380" w:lineRule="atLeast"/>
        <w:ind w:firstLine="600"/>
        <w:rPr>
          <w:rFonts w:ascii="仿宋_GB2312" w:eastAsia="仿宋_GB2312" w:hAnsi="仿宋_GB2312" w:cs="仿宋_GB2312"/>
          <w:kern w:val="0"/>
          <w:sz w:val="32"/>
          <w:szCs w:val="32"/>
        </w:rPr>
      </w:pPr>
    </w:p>
    <w:p w:rsidR="00AA0041" w:rsidRDefault="009B45E8">
      <w:pPr>
        <w:widowControl/>
        <w:spacing w:line="380" w:lineRule="atLeast"/>
        <w:ind w:firstLine="42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w:t>
      </w:r>
      <w:r>
        <w:rPr>
          <w:rFonts w:ascii="仿宋_GB2312" w:eastAsia="仿宋_GB2312" w:hAnsi="仿宋_GB2312" w:cs="仿宋_GB2312" w:hint="eastAsia"/>
          <w:b/>
          <w:bCs/>
          <w:kern w:val="0"/>
          <w:sz w:val="32"/>
          <w:szCs w:val="32"/>
        </w:rPr>
        <w:t>项目名称：</w:t>
      </w:r>
      <w:r>
        <w:rPr>
          <w:rFonts w:ascii="仿宋_GB2312" w:eastAsia="仿宋_GB2312" w:hAnsi="仿宋_GB2312" w:cs="仿宋_GB2312" w:hint="eastAsia"/>
          <w:kern w:val="0"/>
          <w:sz w:val="32"/>
          <w:szCs w:val="32"/>
        </w:rPr>
        <w:t>和顺县生态休闲避暑旅游集散地综合开发项目</w:t>
      </w:r>
    </w:p>
    <w:p w:rsidR="00AA0041" w:rsidRDefault="009B45E8">
      <w:pPr>
        <w:widowControl/>
        <w:spacing w:line="380" w:lineRule="atLeast"/>
        <w:ind w:firstLine="42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二、</w:t>
      </w:r>
      <w:r>
        <w:rPr>
          <w:rFonts w:ascii="仿宋_GB2312" w:eastAsia="仿宋_GB2312" w:hAnsi="仿宋_GB2312" w:cs="仿宋_GB2312" w:hint="eastAsia"/>
          <w:b/>
          <w:bCs/>
          <w:kern w:val="0"/>
          <w:sz w:val="32"/>
          <w:szCs w:val="32"/>
        </w:rPr>
        <w:t>申报单位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和顺县投资促进局</w:t>
      </w:r>
    </w:p>
    <w:p w:rsidR="00AA0041" w:rsidRDefault="009B45E8">
      <w:pPr>
        <w:widowControl/>
        <w:spacing w:line="380" w:lineRule="atLeast"/>
        <w:ind w:firstLine="420"/>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kern w:val="0"/>
          <w:sz w:val="32"/>
          <w:szCs w:val="32"/>
        </w:rPr>
        <w:t>项目概况</w:t>
      </w:r>
    </w:p>
    <w:p w:rsidR="00AA0041" w:rsidRDefault="009B45E8">
      <w:pPr>
        <w:widowControl/>
        <w:spacing w:line="38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（一）项目内容</w:t>
      </w:r>
    </w:p>
    <w:p w:rsidR="00AA0041" w:rsidRDefault="009B45E8">
      <w:pPr>
        <w:spacing w:line="3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、项目背景概况：</w:t>
      </w:r>
    </w:p>
    <w:p w:rsidR="00AA0041" w:rsidRDefault="009B45E8">
      <w:pPr>
        <w:spacing w:line="3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和顺历史悠久，民淳厚俗，是一个美丽丰腴的地方。境内风光秀丽，景色宜人，平均海拔</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米，年平均气温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℃，平均无霜期</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天左右，春寒如冬，夏无盛暑，初秋陨霜，将冬霏雪，大气质量高于国家一级标准，是得天独厚的消夏避暑旅游胜地。</w:t>
      </w:r>
    </w:p>
    <w:p w:rsidR="00AA0041" w:rsidRDefault="009B45E8">
      <w:pPr>
        <w:spacing w:line="3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、项目建设内容</w:t>
      </w:r>
      <w:r>
        <w:rPr>
          <w:rFonts w:ascii="仿宋_GB2312" w:eastAsia="仿宋_GB2312" w:hAnsi="仿宋_GB2312" w:cs="仿宋_GB2312" w:hint="eastAsia"/>
          <w:b/>
          <w:bCs/>
          <w:sz w:val="32"/>
          <w:szCs w:val="32"/>
        </w:rPr>
        <w:t>及规模：</w:t>
      </w:r>
    </w:p>
    <w:p w:rsidR="00AA0041" w:rsidRDefault="009B45E8">
      <w:pPr>
        <w:spacing w:line="360" w:lineRule="exact"/>
        <w:ind w:firstLine="42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紧紧抓住“生态休闲旅游目的地、红色旅游精品线路和乡村休闲游”三个重点，依托当地传统和新型旅游资源，通过旅游产业与农业、现代服务业的融合，形成和顺新的旅游增长极。即以八路军石拐会议纪念园、合山圣母广场、牛郎织女文化园、太行龙口自然生态景区、太行石佛洞、阳曲山度假村、举办中国牛郎织女文化节、许村国际艺术节，搭建旅游平台，建设辐射周边省份及整个华北地区避暑休闲、观光考察、会议招商等为一体化的生态</w:t>
      </w:r>
      <w:r>
        <w:rPr>
          <w:rFonts w:ascii="仿宋_GB2312" w:eastAsia="仿宋_GB2312" w:hAnsi="仿宋_GB2312" w:cs="仿宋_GB2312" w:hint="eastAsia"/>
          <w:sz w:val="32"/>
          <w:szCs w:val="32"/>
        </w:rPr>
        <w:t>休闲避暑</w:t>
      </w:r>
      <w:r>
        <w:rPr>
          <w:rFonts w:ascii="仿宋_GB2312" w:eastAsia="仿宋_GB2312" w:hAnsi="仿宋_GB2312" w:cs="仿宋_GB2312" w:hint="eastAsia"/>
          <w:sz w:val="32"/>
          <w:szCs w:val="32"/>
        </w:rPr>
        <w:t>旅游集散地。我们竭诚欢迎海内外客商和仁人志士来和顺投资合作生态旅游综合开发。</w:t>
      </w:r>
      <w:r>
        <w:rPr>
          <w:rFonts w:ascii="仿宋_GB2312" w:eastAsia="仿宋_GB2312" w:hAnsi="仿宋_GB2312" w:cs="仿宋_GB2312" w:hint="eastAsia"/>
          <w:kern w:val="0"/>
          <w:sz w:val="32"/>
          <w:szCs w:val="32"/>
        </w:rPr>
        <w:t xml:space="preserve">   </w:t>
      </w:r>
    </w:p>
    <w:p w:rsidR="00AA0041" w:rsidRDefault="009B45E8">
      <w:pPr>
        <w:widowControl/>
        <w:spacing w:line="380" w:lineRule="atLeast"/>
        <w:ind w:firstLine="42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（二）项目投资估算（万元）：</w:t>
      </w:r>
      <w:r>
        <w:rPr>
          <w:rFonts w:ascii="仿宋_GB2312" w:eastAsia="仿宋_GB2312" w:hAnsi="仿宋_GB2312" w:cs="仿宋_GB2312" w:hint="eastAsia"/>
          <w:kern w:val="0"/>
          <w:sz w:val="32"/>
          <w:szCs w:val="32"/>
        </w:rPr>
        <w:t>该项目的投资总额约</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拟引资</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kern w:val="0"/>
          <w:sz w:val="32"/>
          <w:szCs w:val="32"/>
        </w:rPr>
        <w:t>。</w:t>
      </w:r>
    </w:p>
    <w:p w:rsidR="00AA0041" w:rsidRDefault="009B45E8">
      <w:pPr>
        <w:spacing w:line="360" w:lineRule="exact"/>
        <w:ind w:firstLine="420"/>
        <w:rPr>
          <w:rFonts w:ascii="仿宋_GB2312" w:eastAsia="仿宋_GB2312" w:hAnsi="仿宋_GB2312" w:cs="仿宋_GB2312"/>
          <w:spacing w:val="-20"/>
          <w:kern w:val="0"/>
          <w:sz w:val="32"/>
          <w:szCs w:val="32"/>
        </w:rPr>
      </w:pPr>
      <w:r>
        <w:rPr>
          <w:rFonts w:ascii="仿宋_GB2312" w:eastAsia="仿宋_GB2312" w:hAnsi="仿宋_GB2312" w:cs="仿宋_GB2312" w:hint="eastAsia"/>
          <w:b/>
          <w:bCs/>
          <w:kern w:val="0"/>
          <w:sz w:val="32"/>
          <w:szCs w:val="32"/>
        </w:rPr>
        <w:t>（三）项目配套条件</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sz w:val="32"/>
          <w:szCs w:val="32"/>
        </w:rPr>
        <w:t>周围交通便利，政府投资政策优惠，后备土地资源充足，供水、供热、供电、通讯等基础设施完善，可满足项目单位使用。</w:t>
      </w:r>
    </w:p>
    <w:p w:rsidR="00AA0041" w:rsidRDefault="009B45E8">
      <w:pPr>
        <w:widowControl/>
        <w:spacing w:line="380" w:lineRule="atLeas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（四）项目市场预测及效益分析</w:t>
      </w:r>
    </w:p>
    <w:p w:rsidR="00AA0041" w:rsidRDefault="009B45E8">
      <w:pPr>
        <w:widowControl/>
        <w:spacing w:line="38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区位优势突出，与京津唐及河北、山东、河南、石家庄等省会城市相邻，交通便利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客流量大，旅游市场前景广阔。</w:t>
      </w:r>
    </w:p>
    <w:p w:rsidR="00AA0041" w:rsidRDefault="009B45E8">
      <w:pPr>
        <w:widowControl/>
        <w:spacing w:line="380" w:lineRule="atLeast"/>
        <w:ind w:firstLine="42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w:t>
      </w:r>
      <w:r>
        <w:rPr>
          <w:rFonts w:ascii="仿宋_GB2312" w:eastAsia="仿宋_GB2312" w:hAnsi="仿宋_GB2312" w:cs="仿宋_GB2312" w:hint="eastAsia"/>
          <w:b/>
          <w:bCs/>
          <w:kern w:val="0"/>
          <w:sz w:val="32"/>
          <w:szCs w:val="32"/>
        </w:rPr>
        <w:t>项目进展情况</w:t>
      </w:r>
    </w:p>
    <w:p w:rsidR="00AA0041" w:rsidRDefault="009B45E8">
      <w:pPr>
        <w:widowControl/>
        <w:spacing w:line="38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（一）政策：符合国家、产业政策及山西省产业规划；</w:t>
      </w:r>
    </w:p>
    <w:p w:rsidR="00AA0041" w:rsidRDefault="009B45E8">
      <w:pPr>
        <w:widowControl/>
        <w:spacing w:line="38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（二）核准（备案）：</w:t>
      </w:r>
      <w:r>
        <w:rPr>
          <w:rFonts w:ascii="仿宋_GB2312" w:eastAsia="仿宋_GB2312" w:hAnsi="仿宋_GB2312" w:cs="仿宋_GB2312" w:hint="eastAsia"/>
          <w:sz w:val="32"/>
          <w:szCs w:val="32"/>
        </w:rPr>
        <w:t>正在申报核准备案；</w:t>
      </w:r>
    </w:p>
    <w:p w:rsidR="00AA0041" w:rsidRDefault="009B45E8">
      <w:pPr>
        <w:widowControl/>
        <w:spacing w:line="380" w:lineRule="atLeast"/>
        <w:rPr>
          <w:rFonts w:ascii="仿宋_GB2312" w:eastAsia="仿宋_GB2312" w:hAnsi="仿宋_GB2312" w:cs="仿宋_GB2312"/>
          <w:spacing w:val="-20"/>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（三）土地、环保</w:t>
      </w:r>
      <w:r>
        <w:rPr>
          <w:rFonts w:ascii="仿宋_GB2312" w:eastAsia="仿宋_GB2312" w:hAnsi="仿宋_GB2312" w:cs="仿宋_GB2312" w:hint="eastAsia"/>
          <w:spacing w:val="-20"/>
          <w:kern w:val="0"/>
          <w:sz w:val="32"/>
          <w:szCs w:val="32"/>
        </w:rPr>
        <w:t>：</w:t>
      </w:r>
      <w:r>
        <w:rPr>
          <w:rFonts w:ascii="仿宋_GB2312" w:eastAsia="仿宋_GB2312" w:hAnsi="仿宋_GB2312" w:cs="仿宋_GB2312" w:hint="eastAsia"/>
          <w:kern w:val="0"/>
          <w:sz w:val="32"/>
          <w:szCs w:val="32"/>
        </w:rPr>
        <w:t>符合国家土地政策及环保规定。</w:t>
      </w:r>
      <w:r>
        <w:rPr>
          <w:rFonts w:ascii="仿宋_GB2312" w:eastAsia="仿宋_GB2312" w:hAnsi="仿宋_GB2312" w:cs="仿宋_GB2312" w:hint="eastAsia"/>
          <w:spacing w:val="-20"/>
          <w:kern w:val="0"/>
          <w:sz w:val="32"/>
          <w:szCs w:val="32"/>
        </w:rPr>
        <w:t xml:space="preserve"> </w:t>
      </w:r>
    </w:p>
    <w:p w:rsidR="00AA0041" w:rsidRDefault="009B45E8">
      <w:pPr>
        <w:widowControl/>
        <w:spacing w:line="380" w:lineRule="atLeas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五</w:t>
      </w:r>
      <w:r>
        <w:rPr>
          <w:rFonts w:ascii="仿宋_GB2312" w:eastAsia="仿宋_GB2312" w:hAnsi="仿宋_GB2312" w:cs="仿宋_GB2312" w:hint="eastAsia"/>
          <w:b/>
          <w:bCs/>
          <w:kern w:val="0"/>
          <w:sz w:val="32"/>
          <w:szCs w:val="32"/>
        </w:rPr>
        <w:t>、拟引资方式</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合资、合作、</w:t>
      </w:r>
      <w:r>
        <w:rPr>
          <w:rFonts w:ascii="仿宋_GB2312" w:eastAsia="仿宋_GB2312" w:hAnsi="仿宋_GB2312" w:cs="仿宋_GB2312" w:hint="eastAsia"/>
          <w:kern w:val="0"/>
          <w:sz w:val="32"/>
          <w:szCs w:val="32"/>
        </w:rPr>
        <w:t>独资</w:t>
      </w:r>
    </w:p>
    <w:p w:rsidR="00AA0041" w:rsidRDefault="009B45E8" w:rsidP="009B45E8">
      <w:pPr>
        <w:widowControl/>
        <w:spacing w:line="380" w:lineRule="atLeast"/>
        <w:rPr>
          <w:rFonts w:ascii="仿宋_GB2312" w:eastAsia="仿宋_GB2312" w:hAnsi="仿宋_GB2312" w:cs="仿宋_GB2312"/>
          <w:kern w:val="0"/>
          <w:sz w:val="32"/>
          <w:szCs w:val="32"/>
        </w:rPr>
      </w:pPr>
      <w:bookmarkStart w:id="0" w:name="_GoBack"/>
      <w:r>
        <w:rPr>
          <w:rFonts w:ascii="仿宋_GB2312" w:eastAsia="仿宋_GB2312" w:hAnsi="仿宋_GB2312" w:cs="仿宋_GB2312" w:hint="eastAsia"/>
          <w:b/>
          <w:bCs/>
          <w:kern w:val="0"/>
          <w:sz w:val="32"/>
          <w:szCs w:val="32"/>
        </w:rPr>
        <w:t xml:space="preserve">    </w:t>
      </w:r>
      <w:bookmarkEnd w:id="0"/>
    </w:p>
    <w:p w:rsidR="00AA0041" w:rsidRDefault="00AA0041">
      <w:pPr>
        <w:widowControl/>
        <w:spacing w:line="380" w:lineRule="atLeast"/>
        <w:rPr>
          <w:rFonts w:ascii="仿宋_GB2312" w:eastAsia="仿宋_GB2312" w:hAnsi="仿宋_GB2312" w:cs="仿宋_GB2312"/>
          <w:sz w:val="32"/>
          <w:szCs w:val="32"/>
        </w:rPr>
      </w:pPr>
    </w:p>
    <w:sectPr w:rsidR="00AA0041" w:rsidSect="00AA00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180405A"/>
    <w:rsid w:val="009B45E8"/>
    <w:rsid w:val="00AA0041"/>
    <w:rsid w:val="04FA4E0A"/>
    <w:rsid w:val="14A80C32"/>
    <w:rsid w:val="26AF657B"/>
    <w:rsid w:val="2CD628D2"/>
    <w:rsid w:val="42E73494"/>
    <w:rsid w:val="5180405A"/>
    <w:rsid w:val="5A3038DA"/>
    <w:rsid w:val="7C626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041"/>
    <w:pPr>
      <w:widowControl w:val="0"/>
      <w:jc w:val="both"/>
    </w:pPr>
    <w:rPr>
      <w:rFonts w:ascii="宋体"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2016-11-14T01:18:00Z</dcterms:created>
  <dcterms:modified xsi:type="dcterms:W3CDTF">2017-04-24T07:25:00Z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