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226C8" w:rsidRDefault="00C63208" w:rsidP="00421A71">
      <w:pPr>
        <w:spacing w:beforeLines="50" w:afterLines="50"/>
        <w:jc w:val="center"/>
        <w:rPr>
          <w:rFonts w:ascii="黑体" w:eastAsia="黑体" w:hAnsi="黑体" w:cs="黑体"/>
          <w:sz w:val="36"/>
          <w:szCs w:val="28"/>
        </w:rPr>
      </w:pPr>
      <w:r>
        <w:rPr>
          <w:rFonts w:ascii="黑体" w:eastAsia="黑体" w:hAnsi="黑体" w:cs="黑体" w:hint="eastAsia"/>
          <w:sz w:val="36"/>
          <w:szCs w:val="28"/>
        </w:rPr>
        <w:t>山西吕梁农村商业银行股份有限公司</w:t>
      </w:r>
    </w:p>
    <w:p w:rsidR="00A226C8" w:rsidRDefault="00C63208" w:rsidP="00161F8A">
      <w:pPr>
        <w:ind w:firstLineChars="200" w:firstLine="640"/>
        <w:rPr>
          <w:rFonts w:ascii="黑体" w:eastAsia="黑体" w:hAnsi="黑体" w:cs="黑体"/>
          <w:sz w:val="32"/>
        </w:rPr>
      </w:pPr>
      <w:r>
        <w:rPr>
          <w:rFonts w:ascii="黑体" w:eastAsia="黑体" w:hAnsi="黑体" w:cs="黑体" w:hint="eastAsia"/>
          <w:sz w:val="32"/>
        </w:rPr>
        <w:t>一、项目名称</w:t>
      </w:r>
    </w:p>
    <w:p w:rsidR="00A226C8" w:rsidRDefault="00C63208" w:rsidP="00161F8A">
      <w:pPr>
        <w:ind w:firstLineChars="200" w:firstLine="640"/>
        <w:rPr>
          <w:rFonts w:ascii="仿宋_GB2312" w:eastAsia="仿宋_GB2312" w:hAnsi="仿宋_GB2312"/>
          <w:sz w:val="32"/>
        </w:rPr>
      </w:pPr>
      <w:r>
        <w:rPr>
          <w:rFonts w:ascii="仿宋_GB2312" w:eastAsia="仿宋_GB2312" w:hAnsi="仿宋_GB2312" w:hint="eastAsia"/>
          <w:sz w:val="32"/>
        </w:rPr>
        <w:t>山西吕梁农村商业银行股份有限公司</w:t>
      </w:r>
    </w:p>
    <w:p w:rsidR="00A226C8" w:rsidRDefault="00C63208" w:rsidP="00161F8A">
      <w:pPr>
        <w:ind w:firstLineChars="200" w:firstLine="640"/>
        <w:rPr>
          <w:rFonts w:ascii="黑体" w:eastAsia="黑体" w:hAnsi="黑体" w:cs="黑体"/>
          <w:sz w:val="32"/>
        </w:rPr>
      </w:pPr>
      <w:r>
        <w:rPr>
          <w:rFonts w:ascii="黑体" w:eastAsia="黑体" w:hAnsi="黑体" w:cs="黑体" w:hint="eastAsia"/>
          <w:sz w:val="32"/>
        </w:rPr>
        <w:t>二、项目简介</w:t>
      </w:r>
    </w:p>
    <w:p w:rsidR="00A226C8" w:rsidRDefault="00C63208" w:rsidP="00161F8A">
      <w:pPr>
        <w:widowControl/>
        <w:autoSpaceDE w:val="0"/>
        <w:ind w:firstLineChars="200" w:firstLine="640"/>
        <w:rPr>
          <w:rFonts w:ascii="仿宋_GB2312" w:eastAsia="仿宋_GB2312" w:hAnsi="仿宋_GB2312"/>
          <w:sz w:val="32"/>
        </w:rPr>
      </w:pPr>
      <w:r>
        <w:rPr>
          <w:rFonts w:ascii="仿宋_GB2312" w:eastAsia="仿宋_GB2312" w:hAnsi="仿宋_GB2312" w:hint="eastAsia"/>
          <w:sz w:val="32"/>
        </w:rPr>
        <w:t>以</w:t>
      </w:r>
      <w:r>
        <w:rPr>
          <w:rFonts w:ascii="仿宋_GB2312" w:eastAsia="仿宋_GB2312" w:hAnsi="仿宋_GB2312"/>
          <w:sz w:val="32"/>
        </w:rPr>
        <w:t>2016</w:t>
      </w:r>
      <w:r>
        <w:rPr>
          <w:rFonts w:ascii="仿宋_GB2312" w:eastAsia="仿宋_GB2312" w:hAnsi="仿宋_GB2312" w:hint="eastAsia"/>
          <w:sz w:val="32"/>
        </w:rPr>
        <w:t>年末业务数据为基数进行清产核资，</w:t>
      </w:r>
      <w:r>
        <w:rPr>
          <w:rFonts w:ascii="仿宋_GB2312" w:eastAsia="仿宋_GB2312" w:hAnsi="仿宋_GB2312"/>
          <w:sz w:val="32"/>
        </w:rPr>
        <w:t>2017</w:t>
      </w:r>
      <w:r>
        <w:rPr>
          <w:rFonts w:ascii="仿宋_GB2312" w:eastAsia="仿宋_GB2312" w:hAnsi="仿宋_GB2312" w:hint="eastAsia"/>
          <w:sz w:val="32"/>
        </w:rPr>
        <w:t>年将吕梁市离石区农村信用合作联社改制为山西吕梁农村商业银行股份有限公司，简称</w:t>
      </w:r>
      <w:r>
        <w:rPr>
          <w:rFonts w:ascii="仿宋_GB2312" w:eastAsia="仿宋_GB2312" w:hAnsi="仿宋_GB2312" w:hint="eastAsia"/>
          <w:b/>
          <w:bCs/>
          <w:sz w:val="32"/>
        </w:rPr>
        <w:t>吕梁农商银行</w:t>
      </w:r>
      <w:r>
        <w:rPr>
          <w:rFonts w:ascii="仿宋_GB2312" w:eastAsia="仿宋_GB2312" w:hAnsi="仿宋_GB2312" w:hint="eastAsia"/>
          <w:sz w:val="32"/>
        </w:rPr>
        <w:t>。</w:t>
      </w:r>
    </w:p>
    <w:p w:rsidR="00A226C8" w:rsidRDefault="00C63208" w:rsidP="00161F8A">
      <w:pPr>
        <w:ind w:firstLineChars="200" w:firstLine="640"/>
        <w:rPr>
          <w:rFonts w:ascii="黑体" w:eastAsia="黑体" w:hAnsi="黑体" w:cs="黑体"/>
          <w:sz w:val="32"/>
        </w:rPr>
      </w:pPr>
      <w:r>
        <w:rPr>
          <w:rFonts w:ascii="黑体" w:eastAsia="黑体" w:hAnsi="黑体" w:cs="黑体" w:hint="eastAsia"/>
          <w:sz w:val="32"/>
        </w:rPr>
        <w:t>三、项目亮点</w:t>
      </w:r>
    </w:p>
    <w:p w:rsidR="00A226C8" w:rsidRDefault="00C63208" w:rsidP="00161F8A">
      <w:pPr>
        <w:widowControl/>
        <w:autoSpaceDE w:val="0"/>
        <w:ind w:firstLineChars="200" w:firstLine="640"/>
        <w:rPr>
          <w:rFonts w:ascii="仿宋_GB2312" w:eastAsia="仿宋_GB2312" w:hAnsi="仿宋_GB2312"/>
          <w:sz w:val="32"/>
        </w:rPr>
      </w:pPr>
      <w:r>
        <w:rPr>
          <w:rFonts w:ascii="仿宋_GB2312" w:eastAsia="仿宋_GB2312" w:hAnsi="仿宋_GB2312" w:hint="eastAsia"/>
          <w:sz w:val="32"/>
        </w:rPr>
        <w:t>1、现离石区农村信用合作联社是辖内服务网点最多、覆盖面最广的银行机构，是唯一一家网点遍布城乡的银行机构，存款市场份额、贷款市场份额均位列辖区前三名。</w:t>
      </w:r>
    </w:p>
    <w:p w:rsidR="00A226C8" w:rsidRDefault="00C63208" w:rsidP="00161F8A">
      <w:pPr>
        <w:widowControl/>
        <w:autoSpaceDE w:val="0"/>
        <w:ind w:firstLineChars="200" w:firstLine="640"/>
        <w:rPr>
          <w:rFonts w:ascii="仿宋_GB2312" w:eastAsia="仿宋_GB2312" w:hAnsi="仿宋_GB2312"/>
          <w:sz w:val="32"/>
        </w:rPr>
      </w:pPr>
      <w:r>
        <w:rPr>
          <w:rFonts w:ascii="仿宋_GB2312" w:eastAsia="仿宋_GB2312" w:hAnsi="仿宋_GB2312" w:hint="eastAsia"/>
          <w:sz w:val="32"/>
        </w:rPr>
        <w:t>2、地处吕梁市政府所在地，广泛集聚全市各县及全省、全国资源，具有先天发展优势。</w:t>
      </w:r>
    </w:p>
    <w:p w:rsidR="00A226C8" w:rsidRDefault="00C63208" w:rsidP="00161F8A">
      <w:pPr>
        <w:widowControl/>
        <w:autoSpaceDE w:val="0"/>
        <w:ind w:firstLineChars="200" w:firstLine="640"/>
        <w:rPr>
          <w:rFonts w:ascii="仿宋_GB2312" w:eastAsia="仿宋_GB2312" w:hAnsi="仿宋_GB2312"/>
          <w:sz w:val="32"/>
        </w:rPr>
      </w:pPr>
      <w:r>
        <w:rPr>
          <w:rFonts w:ascii="仿宋_GB2312" w:eastAsia="仿宋_GB2312" w:hAnsi="仿宋_GB2312" w:hint="eastAsia"/>
          <w:sz w:val="32"/>
        </w:rPr>
        <w:t>3、离石区委、区政府将离石区农村信用合作联社改制农商行项目列入“十三五规划”中，并提供了强有力的支持。</w:t>
      </w:r>
    </w:p>
    <w:p w:rsidR="00A226C8" w:rsidRDefault="00C63208" w:rsidP="00161F8A">
      <w:pPr>
        <w:ind w:firstLineChars="200" w:firstLine="640"/>
        <w:rPr>
          <w:rFonts w:ascii="仿宋_GB2312" w:eastAsia="仿宋_GB2312" w:hAnsi="仿宋_GB2312"/>
          <w:sz w:val="32"/>
        </w:rPr>
      </w:pPr>
      <w:r>
        <w:rPr>
          <w:rFonts w:ascii="仿宋_GB2312" w:eastAsia="仿宋_GB2312" w:hAnsi="仿宋_GB2312" w:hint="eastAsia"/>
          <w:sz w:val="32"/>
        </w:rPr>
        <w:t>4、长期扎根农村、联系城乡，是支持地方经济发展的金融主力军，是客户心目中的“百姓银行”。</w:t>
      </w:r>
    </w:p>
    <w:p w:rsidR="00A226C8" w:rsidRDefault="00C63208" w:rsidP="00161F8A">
      <w:pPr>
        <w:ind w:firstLineChars="200" w:firstLine="640"/>
        <w:rPr>
          <w:rFonts w:ascii="黑体" w:eastAsia="黑体" w:hAnsi="黑体" w:cs="黑体"/>
          <w:sz w:val="32"/>
        </w:rPr>
      </w:pPr>
      <w:r>
        <w:rPr>
          <w:rFonts w:ascii="黑体" w:eastAsia="黑体" w:hAnsi="黑体" w:cs="黑体" w:hint="eastAsia"/>
          <w:sz w:val="32"/>
        </w:rPr>
        <w:t>四、项目申报单位简介</w:t>
      </w:r>
    </w:p>
    <w:p w:rsidR="00A226C8" w:rsidRDefault="00C63208" w:rsidP="00161F8A">
      <w:pPr>
        <w:autoSpaceDE w:val="0"/>
        <w:ind w:firstLineChars="200" w:firstLine="640"/>
        <w:rPr>
          <w:rFonts w:ascii="仿宋_GB2312" w:eastAsia="仿宋_GB2312" w:hint="eastAsia"/>
          <w:sz w:val="32"/>
          <w:szCs w:val="32"/>
        </w:rPr>
      </w:pPr>
      <w:r>
        <w:rPr>
          <w:rFonts w:ascii="仿宋_GB2312" w:eastAsia="仿宋_GB2312" w:hAnsi="仿宋_GB2312" w:hint="eastAsia"/>
          <w:sz w:val="32"/>
        </w:rPr>
        <w:t>离石区农村信用合作联社于</w:t>
      </w:r>
      <w:r>
        <w:rPr>
          <w:rFonts w:ascii="仿宋_GB2312" w:eastAsia="仿宋_GB2312" w:hAnsi="仿宋_GB2312"/>
          <w:sz w:val="32"/>
        </w:rPr>
        <w:t>2008</w:t>
      </w:r>
      <w:r>
        <w:rPr>
          <w:rFonts w:ascii="仿宋_GB2312" w:eastAsia="仿宋_GB2312" w:hAnsi="仿宋_GB2312" w:hint="eastAsia"/>
          <w:sz w:val="32"/>
        </w:rPr>
        <w:t>年</w:t>
      </w:r>
      <w:r>
        <w:rPr>
          <w:rFonts w:ascii="仿宋_GB2312" w:eastAsia="仿宋_GB2312" w:hAnsi="仿宋_GB2312"/>
          <w:sz w:val="32"/>
        </w:rPr>
        <w:t>1</w:t>
      </w:r>
      <w:r>
        <w:rPr>
          <w:rFonts w:ascii="仿宋_GB2312" w:eastAsia="仿宋_GB2312" w:hAnsi="仿宋_GB2312" w:hint="eastAsia"/>
          <w:sz w:val="32"/>
        </w:rPr>
        <w:t>月</w:t>
      </w:r>
      <w:r>
        <w:rPr>
          <w:rFonts w:ascii="仿宋_GB2312" w:eastAsia="仿宋_GB2312" w:hAnsi="仿宋_GB2312"/>
          <w:sz w:val="32"/>
        </w:rPr>
        <w:t>23</w:t>
      </w:r>
      <w:r>
        <w:rPr>
          <w:rFonts w:ascii="仿宋_GB2312" w:eastAsia="仿宋_GB2312" w:hAnsi="仿宋_GB2312" w:hint="eastAsia"/>
          <w:sz w:val="32"/>
        </w:rPr>
        <w:t>日统一为县一级法人并正式挂牌开业。机关内设</w:t>
      </w:r>
      <w:r>
        <w:rPr>
          <w:rFonts w:ascii="仿宋_GB2312" w:eastAsia="仿宋_GB2312" w:hAnsi="仿宋_GB2312"/>
          <w:sz w:val="32"/>
        </w:rPr>
        <w:t>13</w:t>
      </w:r>
      <w:r>
        <w:rPr>
          <w:rFonts w:ascii="仿宋_GB2312" w:eastAsia="仿宋_GB2312" w:hAnsi="仿宋_GB2312" w:hint="eastAsia"/>
          <w:sz w:val="32"/>
        </w:rPr>
        <w:t>个职能部门，下辖</w:t>
      </w:r>
      <w:r>
        <w:rPr>
          <w:rFonts w:ascii="仿宋_GB2312" w:eastAsia="仿宋_GB2312" w:hAnsi="仿宋_GB2312"/>
          <w:sz w:val="32"/>
        </w:rPr>
        <w:t>26</w:t>
      </w:r>
      <w:r>
        <w:rPr>
          <w:rFonts w:ascii="仿宋_GB2312" w:eastAsia="仿宋_GB2312" w:hAnsi="仿宋_GB2312" w:hint="eastAsia"/>
          <w:sz w:val="32"/>
        </w:rPr>
        <w:t>个营业网点，</w:t>
      </w:r>
      <w:r>
        <w:rPr>
          <w:rFonts w:ascii="仿宋_GB2312" w:eastAsia="仿宋_GB2312" w:hint="eastAsia"/>
          <w:sz w:val="32"/>
          <w:szCs w:val="32"/>
        </w:rPr>
        <w:t>共</w:t>
      </w:r>
      <w:r>
        <w:rPr>
          <w:rFonts w:ascii="仿宋_GB2312" w:eastAsia="仿宋_GB2312" w:hAnsi="仿宋_GB2312" w:hint="eastAsia"/>
          <w:sz w:val="32"/>
        </w:rPr>
        <w:t>有员工近500名。截至2016年3月末，资产总额达101.88亿元，负债总额达100.54亿元。其中各</w:t>
      </w:r>
      <w:r>
        <w:rPr>
          <w:rFonts w:ascii="仿宋_GB2312" w:eastAsia="仿宋_GB2312" w:hAnsi="仿宋_GB2312" w:hint="eastAsia"/>
          <w:sz w:val="32"/>
        </w:rPr>
        <w:lastRenderedPageBreak/>
        <w:t>项贷款40.31亿元，各项存款57.88亿元，共有股本金3016万元，</w:t>
      </w:r>
      <w:r>
        <w:rPr>
          <w:rFonts w:ascii="仿宋_GB2312" w:eastAsia="仿宋_GB2312" w:hint="eastAsia"/>
          <w:sz w:val="32"/>
          <w:szCs w:val="32"/>
        </w:rPr>
        <w:t>投资股占比100%。</w:t>
      </w:r>
    </w:p>
    <w:p w:rsidR="00A226C8" w:rsidRDefault="00C63208" w:rsidP="00161F8A">
      <w:pPr>
        <w:autoSpaceDE w:val="0"/>
        <w:ind w:firstLineChars="200" w:firstLine="640"/>
        <w:rPr>
          <w:rFonts w:ascii="仿宋_GB2312" w:eastAsia="仿宋_GB2312" w:hint="eastAsia"/>
          <w:sz w:val="32"/>
          <w:szCs w:val="32"/>
        </w:rPr>
      </w:pPr>
      <w:r>
        <w:rPr>
          <w:rFonts w:ascii="仿宋_GB2312" w:eastAsia="仿宋_GB2312" w:hint="eastAsia"/>
          <w:sz w:val="32"/>
          <w:szCs w:val="32"/>
        </w:rPr>
        <w:t>项目总投资6亿元。</w:t>
      </w:r>
      <w:bookmarkStart w:id="0" w:name="_GoBack"/>
      <w:bookmarkEnd w:id="0"/>
    </w:p>
    <w:p w:rsidR="00A226C8" w:rsidRDefault="00C63208" w:rsidP="00161F8A">
      <w:pPr>
        <w:ind w:firstLineChars="200" w:firstLine="640"/>
        <w:rPr>
          <w:rFonts w:ascii="黑体" w:eastAsia="黑体" w:hAnsi="黑体" w:cs="黑体"/>
          <w:sz w:val="32"/>
        </w:rPr>
      </w:pPr>
      <w:r>
        <w:rPr>
          <w:rFonts w:ascii="黑体" w:eastAsia="黑体" w:hAnsi="黑体" w:cs="黑体" w:hint="eastAsia"/>
          <w:sz w:val="32"/>
        </w:rPr>
        <w:t>五、项目经济效益分析：</w:t>
      </w:r>
    </w:p>
    <w:p w:rsidR="00A226C8" w:rsidRDefault="00C63208" w:rsidP="00161F8A">
      <w:pPr>
        <w:ind w:firstLineChars="200" w:firstLine="640"/>
        <w:rPr>
          <w:rFonts w:ascii="仿宋_GB2312" w:eastAsia="仿宋_GB2312" w:hint="eastAsia"/>
          <w:sz w:val="32"/>
          <w:szCs w:val="32"/>
        </w:rPr>
      </w:pPr>
      <w:r>
        <w:rPr>
          <w:rFonts w:ascii="仿宋_GB2312" w:eastAsia="仿宋_GB2312" w:hint="eastAsia"/>
          <w:sz w:val="32"/>
          <w:szCs w:val="32"/>
        </w:rPr>
        <w:t>在申请政府种子基金</w:t>
      </w:r>
      <w:r>
        <w:rPr>
          <w:rFonts w:ascii="仿宋_GB2312" w:eastAsia="仿宋_GB2312"/>
          <w:sz w:val="32"/>
          <w:szCs w:val="32"/>
        </w:rPr>
        <w:t>2</w:t>
      </w:r>
      <w:r>
        <w:rPr>
          <w:rFonts w:ascii="仿宋_GB2312" w:eastAsia="仿宋_GB2312" w:hint="eastAsia"/>
          <w:sz w:val="32"/>
          <w:szCs w:val="32"/>
        </w:rPr>
        <w:t>亿元的前提下，再公开募集股本金</w:t>
      </w:r>
      <w:r>
        <w:rPr>
          <w:rFonts w:ascii="仿宋_GB2312" w:eastAsia="仿宋_GB2312"/>
          <w:sz w:val="32"/>
          <w:szCs w:val="32"/>
        </w:rPr>
        <w:t>6</w:t>
      </w:r>
      <w:r>
        <w:rPr>
          <w:rFonts w:ascii="仿宋_GB2312" w:eastAsia="仿宋_GB2312" w:hint="eastAsia"/>
          <w:sz w:val="32"/>
          <w:szCs w:val="32"/>
        </w:rPr>
        <w:t>亿元，同时股东以1:1的比例购买不良贷款后，预计资本净额可达</w:t>
      </w:r>
      <w:r>
        <w:rPr>
          <w:rFonts w:ascii="仿宋_GB2312" w:eastAsia="仿宋_GB2312"/>
          <w:sz w:val="32"/>
          <w:szCs w:val="32"/>
        </w:rPr>
        <w:t>7.57</w:t>
      </w:r>
      <w:r>
        <w:rPr>
          <w:rFonts w:ascii="仿宋_GB2312" w:eastAsia="仿宋_GB2312" w:hint="eastAsia"/>
          <w:sz w:val="32"/>
          <w:szCs w:val="32"/>
        </w:rPr>
        <w:t>亿元，资本充足率达到30</w:t>
      </w:r>
      <w:r>
        <w:rPr>
          <w:rFonts w:ascii="仿宋_GB2312" w:eastAsia="仿宋_GB2312"/>
          <w:sz w:val="32"/>
          <w:szCs w:val="32"/>
        </w:rPr>
        <w:t>%</w:t>
      </w:r>
      <w:r>
        <w:rPr>
          <w:rFonts w:ascii="仿宋_GB2312" w:eastAsia="仿宋_GB2312" w:hint="eastAsia"/>
          <w:sz w:val="32"/>
          <w:szCs w:val="32"/>
        </w:rPr>
        <w:t>，不良贷款率控制在3</w:t>
      </w:r>
      <w:r>
        <w:rPr>
          <w:rFonts w:ascii="仿宋_GB2312" w:eastAsia="仿宋_GB2312"/>
          <w:sz w:val="32"/>
          <w:szCs w:val="32"/>
        </w:rPr>
        <w:t>%</w:t>
      </w:r>
      <w:r>
        <w:rPr>
          <w:rFonts w:ascii="仿宋_GB2312" w:eastAsia="仿宋_GB2312" w:hint="eastAsia"/>
          <w:sz w:val="32"/>
          <w:szCs w:val="32"/>
        </w:rPr>
        <w:t>以内，拨备覆盖率达到</w:t>
      </w:r>
      <w:r>
        <w:rPr>
          <w:rFonts w:ascii="仿宋_GB2312" w:eastAsia="仿宋_GB2312"/>
          <w:sz w:val="32"/>
          <w:szCs w:val="32"/>
        </w:rPr>
        <w:t>150%</w:t>
      </w:r>
      <w:r>
        <w:rPr>
          <w:rFonts w:ascii="仿宋_GB2312" w:eastAsia="仿宋_GB2312" w:hint="eastAsia"/>
          <w:sz w:val="32"/>
          <w:szCs w:val="32"/>
        </w:rPr>
        <w:t>以上。年收入将达到</w:t>
      </w:r>
      <w:r>
        <w:rPr>
          <w:rFonts w:ascii="仿宋_GB2312" w:eastAsia="仿宋_GB2312"/>
          <w:sz w:val="32"/>
          <w:szCs w:val="32"/>
        </w:rPr>
        <w:t>3.5</w:t>
      </w:r>
      <w:r>
        <w:rPr>
          <w:rFonts w:ascii="仿宋_GB2312" w:eastAsia="仿宋_GB2312" w:hint="eastAsia"/>
          <w:sz w:val="32"/>
          <w:szCs w:val="32"/>
        </w:rPr>
        <w:t>亿元，经营利润将由</w:t>
      </w:r>
      <w:r>
        <w:rPr>
          <w:rFonts w:ascii="仿宋_GB2312" w:eastAsia="仿宋_GB2312"/>
          <w:sz w:val="32"/>
          <w:szCs w:val="32"/>
        </w:rPr>
        <w:t>2015</w:t>
      </w:r>
      <w:r>
        <w:rPr>
          <w:rFonts w:ascii="仿宋_GB2312" w:eastAsia="仿宋_GB2312" w:hint="eastAsia"/>
          <w:sz w:val="32"/>
          <w:szCs w:val="32"/>
        </w:rPr>
        <w:t>年末的</w:t>
      </w:r>
      <w:r>
        <w:rPr>
          <w:rFonts w:ascii="仿宋_GB2312" w:eastAsia="仿宋_GB2312"/>
          <w:sz w:val="32"/>
          <w:szCs w:val="32"/>
        </w:rPr>
        <w:t>3000</w:t>
      </w:r>
      <w:r>
        <w:rPr>
          <w:rFonts w:ascii="仿宋_GB2312" w:eastAsia="仿宋_GB2312" w:hint="eastAsia"/>
          <w:sz w:val="32"/>
          <w:szCs w:val="32"/>
        </w:rPr>
        <w:t>万元提高到</w:t>
      </w:r>
      <w:r>
        <w:rPr>
          <w:rFonts w:ascii="仿宋_GB2312" w:eastAsia="仿宋_GB2312"/>
          <w:sz w:val="32"/>
          <w:szCs w:val="32"/>
        </w:rPr>
        <w:t>1.5</w:t>
      </w:r>
      <w:r>
        <w:rPr>
          <w:rFonts w:ascii="仿宋_GB2312" w:eastAsia="仿宋_GB2312" w:hint="eastAsia"/>
          <w:sz w:val="32"/>
          <w:szCs w:val="32"/>
        </w:rPr>
        <w:t>亿元，股东分红比例将达到</w:t>
      </w:r>
      <w:r>
        <w:rPr>
          <w:rFonts w:ascii="仿宋_GB2312" w:eastAsia="仿宋_GB2312"/>
          <w:sz w:val="32"/>
          <w:szCs w:val="32"/>
        </w:rPr>
        <w:t>15%</w:t>
      </w:r>
      <w:r>
        <w:rPr>
          <w:rFonts w:ascii="仿宋_GB2312" w:eastAsia="仿宋_GB2312" w:hint="eastAsia"/>
          <w:sz w:val="32"/>
          <w:szCs w:val="32"/>
        </w:rPr>
        <w:t>以上。</w:t>
      </w:r>
    </w:p>
    <w:p w:rsidR="00A226C8" w:rsidRDefault="00C63208" w:rsidP="00161F8A">
      <w:pPr>
        <w:ind w:firstLineChars="200" w:firstLine="640"/>
        <w:rPr>
          <w:rFonts w:ascii="仿宋_GB2312" w:eastAsia="仿宋_GB2312" w:hint="eastAsia"/>
          <w:sz w:val="32"/>
          <w:szCs w:val="32"/>
        </w:rPr>
      </w:pPr>
      <w:r>
        <w:rPr>
          <w:rFonts w:ascii="仿宋_GB2312" w:eastAsia="仿宋_GB2312" w:hint="eastAsia"/>
          <w:sz w:val="32"/>
          <w:szCs w:val="32"/>
        </w:rPr>
        <w:t>改制成功后在健康快速发展过程中，还将进一步设立异地支行、参股其他农信社改制，发起成立村镇银行等，打造健康而富有活力的现代金融企业。</w:t>
      </w:r>
    </w:p>
    <w:p w:rsidR="00A226C8" w:rsidRDefault="00C63208" w:rsidP="00161F8A">
      <w:pPr>
        <w:ind w:firstLineChars="200" w:firstLine="640"/>
        <w:rPr>
          <w:rFonts w:ascii="黑体" w:eastAsia="黑体" w:hAnsi="黑体" w:cs="黑体"/>
          <w:sz w:val="32"/>
        </w:rPr>
      </w:pPr>
      <w:r>
        <w:rPr>
          <w:rFonts w:ascii="黑体" w:eastAsia="黑体" w:hAnsi="黑体" w:cs="黑体" w:hint="eastAsia"/>
          <w:sz w:val="32"/>
        </w:rPr>
        <w:t>六、合作方式</w:t>
      </w:r>
    </w:p>
    <w:p w:rsidR="00A226C8" w:rsidRDefault="00C63208" w:rsidP="00161F8A">
      <w:pPr>
        <w:ind w:firstLineChars="200" w:firstLine="640"/>
        <w:rPr>
          <w:rFonts w:ascii="仿宋_GB2312" w:eastAsia="仿宋_GB2312" w:hint="eastAsia"/>
          <w:sz w:val="32"/>
          <w:szCs w:val="32"/>
        </w:rPr>
      </w:pPr>
      <w:r>
        <w:rPr>
          <w:rFonts w:ascii="仿宋_GB2312" w:eastAsia="仿宋_GB2312" w:hint="eastAsia"/>
          <w:sz w:val="32"/>
          <w:szCs w:val="32"/>
        </w:rPr>
        <w:t>职工股占股达到20%，非职工股即央企、国企、民营企业、金融机构、自然人等合计占股达到80%。</w:t>
      </w:r>
    </w:p>
    <w:p w:rsidR="00A226C8" w:rsidRDefault="00C63208" w:rsidP="00161F8A">
      <w:pPr>
        <w:ind w:firstLineChars="200" w:firstLine="640"/>
        <w:rPr>
          <w:rFonts w:ascii="仿宋_GB2312" w:eastAsia="仿宋_GB2312" w:hint="eastAsia"/>
          <w:sz w:val="32"/>
          <w:szCs w:val="32"/>
        </w:rPr>
      </w:pPr>
      <w:r>
        <w:rPr>
          <w:rFonts w:ascii="仿宋_GB2312" w:eastAsia="仿宋_GB2312" w:hint="eastAsia"/>
          <w:sz w:val="32"/>
          <w:szCs w:val="32"/>
        </w:rPr>
        <w:t>单个自然人持股比例不超过本机构股金总额的2%，即金额不超过2400万元，最低不低于5‰即600万元；单个法人及关联方持股比例不超过20%，即24000万元，最低不低于1%即1200万元。</w:t>
      </w:r>
    </w:p>
    <w:p w:rsidR="00A226C8" w:rsidRDefault="00A226C8" w:rsidP="00161F8A">
      <w:pPr>
        <w:autoSpaceDE w:val="0"/>
        <w:ind w:firstLineChars="200" w:firstLine="420"/>
        <w:rPr>
          <w:rFonts w:hint="eastAsia"/>
        </w:rPr>
      </w:pPr>
    </w:p>
    <w:sectPr w:rsidR="00A226C8" w:rsidSect="00A226C8">
      <w:headerReference w:type="default"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26C" w:rsidRDefault="000B126C" w:rsidP="00A226C8">
      <w:pPr>
        <w:rPr>
          <w:rFonts w:hint="eastAsia"/>
        </w:rPr>
      </w:pPr>
      <w:r>
        <w:separator/>
      </w:r>
    </w:p>
  </w:endnote>
  <w:endnote w:type="continuationSeparator" w:id="0">
    <w:p w:rsidR="000B126C" w:rsidRDefault="000B126C" w:rsidP="00A226C8">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6C8" w:rsidRDefault="00F42772">
    <w:pPr>
      <w:pStyle w:val="a3"/>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BNuVyTDAgAA1gUAAA4AAAAA&#10;AAAAAQAgAAAAHwEAAGRycy9lMm9Eb2MueG1sUEsFBgAAAAAGAAYAWQEAAFQGAAAAAA==&#10;" filled="f" stroked="f" strokeweight=".5pt">
          <v:textbox style="mso-fit-shape-to-text:t" inset="0,0,0,0">
            <w:txbxContent>
              <w:p w:rsidR="00A226C8" w:rsidRDefault="00F42772">
                <w:pPr>
                  <w:snapToGrid w:val="0"/>
                  <w:rPr>
                    <w:rFonts w:hint="eastAsia"/>
                    <w:sz w:val="18"/>
                  </w:rPr>
                </w:pPr>
                <w:r>
                  <w:fldChar w:fldCharType="begin"/>
                </w:r>
                <w:r w:rsidR="00C63208">
                  <w:instrText xml:space="preserve"> PAGE  \* MERGEFORMAT </w:instrText>
                </w:r>
                <w:r>
                  <w:fldChar w:fldCharType="separate"/>
                </w:r>
                <w:r w:rsidR="00421A71">
                  <w:rPr>
                    <w:rFonts w:hint="eastAsia"/>
                    <w:noProof/>
                  </w:rPr>
                  <w:t>- 2 -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26C" w:rsidRDefault="000B126C" w:rsidP="00A226C8">
      <w:pPr>
        <w:rPr>
          <w:rFonts w:hint="eastAsia"/>
        </w:rPr>
      </w:pPr>
      <w:r>
        <w:separator/>
      </w:r>
    </w:p>
  </w:footnote>
  <w:footnote w:type="continuationSeparator" w:id="0">
    <w:p w:rsidR="000B126C" w:rsidRDefault="000B126C" w:rsidP="00A226C8">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6C8" w:rsidRDefault="00A226C8">
    <w:pPr>
      <w:pStyle w:val="a4"/>
      <w:pBdr>
        <w:top w:val="none" w:sz="0" w:space="0" w:color="auto"/>
        <w:left w:val="none" w:sz="0" w:space="0" w:color="auto"/>
        <w:bottom w:val="none" w:sz="0" w:space="0" w:color="auto"/>
        <w:right w:val="none" w:sz="0" w:space="0" w:color="auto"/>
      </w:pBdr>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4B1664D"/>
    <w:rsid w:val="000459C4"/>
    <w:rsid w:val="000B126C"/>
    <w:rsid w:val="00161F8A"/>
    <w:rsid w:val="002A2067"/>
    <w:rsid w:val="00421A71"/>
    <w:rsid w:val="0045409B"/>
    <w:rsid w:val="004E0C88"/>
    <w:rsid w:val="005E3260"/>
    <w:rsid w:val="006B1747"/>
    <w:rsid w:val="0072347A"/>
    <w:rsid w:val="008B3A33"/>
    <w:rsid w:val="009B3774"/>
    <w:rsid w:val="00A226C8"/>
    <w:rsid w:val="00B20DF1"/>
    <w:rsid w:val="00C63208"/>
    <w:rsid w:val="00CF2103"/>
    <w:rsid w:val="00DF77E2"/>
    <w:rsid w:val="00F42772"/>
    <w:rsid w:val="01172159"/>
    <w:rsid w:val="01EB10AB"/>
    <w:rsid w:val="023C66B8"/>
    <w:rsid w:val="02BE378E"/>
    <w:rsid w:val="03D9195C"/>
    <w:rsid w:val="045A6A33"/>
    <w:rsid w:val="05C1727E"/>
    <w:rsid w:val="09FE75F3"/>
    <w:rsid w:val="0A3F005D"/>
    <w:rsid w:val="0A557AA3"/>
    <w:rsid w:val="0D4E5761"/>
    <w:rsid w:val="0DA46170"/>
    <w:rsid w:val="0F565B36"/>
    <w:rsid w:val="0FE30C1D"/>
    <w:rsid w:val="10655CF3"/>
    <w:rsid w:val="14AE4079"/>
    <w:rsid w:val="14B1664D"/>
    <w:rsid w:val="16F83FBE"/>
    <w:rsid w:val="174E114A"/>
    <w:rsid w:val="17B0376D"/>
    <w:rsid w:val="196F567B"/>
    <w:rsid w:val="1A302507"/>
    <w:rsid w:val="1C037E84"/>
    <w:rsid w:val="1EF075D2"/>
    <w:rsid w:val="1F647B72"/>
    <w:rsid w:val="1F682713"/>
    <w:rsid w:val="1FD47844"/>
    <w:rsid w:val="21702AE9"/>
    <w:rsid w:val="25DA2A28"/>
    <w:rsid w:val="2A3854D0"/>
    <w:rsid w:val="2AFB6893"/>
    <w:rsid w:val="2BB36041"/>
    <w:rsid w:val="2C821B92"/>
    <w:rsid w:val="2CA27EC8"/>
    <w:rsid w:val="2D7B562D"/>
    <w:rsid w:val="2EE161F9"/>
    <w:rsid w:val="2F6376CB"/>
    <w:rsid w:val="30E07EBD"/>
    <w:rsid w:val="314C4FED"/>
    <w:rsid w:val="32DE1F01"/>
    <w:rsid w:val="340E0074"/>
    <w:rsid w:val="347A51A5"/>
    <w:rsid w:val="353201D7"/>
    <w:rsid w:val="36160449"/>
    <w:rsid w:val="36782A6C"/>
    <w:rsid w:val="36E47B9D"/>
    <w:rsid w:val="3CC911C7"/>
    <w:rsid w:val="406E00C4"/>
    <w:rsid w:val="452F4E0F"/>
    <w:rsid w:val="46942157"/>
    <w:rsid w:val="46F6477A"/>
    <w:rsid w:val="47426DF8"/>
    <w:rsid w:val="4AC7413B"/>
    <w:rsid w:val="4AFE2097"/>
    <w:rsid w:val="4B916EFA"/>
    <w:rsid w:val="4DEA1A28"/>
    <w:rsid w:val="4E4C4D02"/>
    <w:rsid w:val="4EA25710"/>
    <w:rsid w:val="50766910"/>
    <w:rsid w:val="512344AA"/>
    <w:rsid w:val="513A40D0"/>
    <w:rsid w:val="52BF2FD2"/>
    <w:rsid w:val="52EC7319"/>
    <w:rsid w:val="53376114"/>
    <w:rsid w:val="559E0168"/>
    <w:rsid w:val="567D4259"/>
    <w:rsid w:val="57283E0B"/>
    <w:rsid w:val="57CB6E97"/>
    <w:rsid w:val="5AB865E5"/>
    <w:rsid w:val="5B9C20DB"/>
    <w:rsid w:val="5BFD0E7B"/>
    <w:rsid w:val="5C753FBD"/>
    <w:rsid w:val="5D2E6FEF"/>
    <w:rsid w:val="5D4F408F"/>
    <w:rsid w:val="5D7A5DE9"/>
    <w:rsid w:val="62BB7F8A"/>
    <w:rsid w:val="631E69AA"/>
    <w:rsid w:val="634A2CF1"/>
    <w:rsid w:val="636813A7"/>
    <w:rsid w:val="643809DC"/>
    <w:rsid w:val="64CB0E62"/>
    <w:rsid w:val="64E46315"/>
    <w:rsid w:val="67873066"/>
    <w:rsid w:val="6A120191"/>
    <w:rsid w:val="6A270136"/>
    <w:rsid w:val="6DA1296C"/>
    <w:rsid w:val="718722D2"/>
    <w:rsid w:val="72295B7C"/>
    <w:rsid w:val="757A7C49"/>
    <w:rsid w:val="776D38FC"/>
    <w:rsid w:val="78D20AB8"/>
    <w:rsid w:val="7C8E7766"/>
    <w:rsid w:val="7EAD776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6C8"/>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226C8"/>
    <w:pPr>
      <w:tabs>
        <w:tab w:val="center" w:pos="4153"/>
        <w:tab w:val="right" w:pos="8306"/>
      </w:tabs>
      <w:snapToGrid w:val="0"/>
      <w:jc w:val="left"/>
    </w:pPr>
    <w:rPr>
      <w:sz w:val="18"/>
    </w:rPr>
  </w:style>
  <w:style w:type="paragraph" w:styleId="a4">
    <w:name w:val="header"/>
    <w:basedOn w:val="a"/>
    <w:link w:val="Char0"/>
    <w:uiPriority w:val="99"/>
    <w:qFormat/>
    <w:rsid w:val="00A226C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uiPriority w:val="99"/>
    <w:qFormat/>
    <w:rsid w:val="00A226C8"/>
    <w:rPr>
      <w:rFonts w:cs="Times New Roman"/>
      <w:color w:val="0000FF"/>
      <w:u w:val="single"/>
    </w:rPr>
  </w:style>
  <w:style w:type="character" w:customStyle="1" w:styleId="Char">
    <w:name w:val="页脚 Char"/>
    <w:basedOn w:val="a0"/>
    <w:link w:val="a3"/>
    <w:uiPriority w:val="99"/>
    <w:semiHidden/>
    <w:qFormat/>
    <w:rsid w:val="00A226C8"/>
    <w:rPr>
      <w:rFonts w:ascii="Calibri" w:hAnsi="Calibri"/>
      <w:sz w:val="18"/>
      <w:szCs w:val="18"/>
    </w:rPr>
  </w:style>
  <w:style w:type="character" w:customStyle="1" w:styleId="Char0">
    <w:name w:val="页眉 Char"/>
    <w:basedOn w:val="a0"/>
    <w:link w:val="a4"/>
    <w:uiPriority w:val="99"/>
    <w:semiHidden/>
    <w:rsid w:val="00A226C8"/>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divs>
    <w:div w:id="116529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2016-04-08T00:38:00Z</cp:lastPrinted>
  <dcterms:created xsi:type="dcterms:W3CDTF">2016-03-29T07:00:00Z</dcterms:created>
  <dcterms:modified xsi:type="dcterms:W3CDTF">2017-04-20T02:51:00Z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