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5B" w:rsidRDefault="00561D5B" w:rsidP="00561D5B">
      <w:pPr>
        <w:jc w:val="center"/>
        <w:rPr>
          <w:rFonts w:asciiTheme="minorEastAsia" w:hAnsiTheme="minorEastAsia"/>
          <w:b/>
          <w:sz w:val="36"/>
          <w:szCs w:val="36"/>
        </w:rPr>
      </w:pPr>
      <w:r>
        <w:rPr>
          <w:rFonts w:asciiTheme="minorEastAsia" w:hAnsiTheme="minorEastAsia" w:hint="eastAsia"/>
          <w:b/>
          <w:sz w:val="36"/>
          <w:szCs w:val="36"/>
        </w:rPr>
        <w:t>2019年度宁波市皮革行业统计</w:t>
      </w:r>
    </w:p>
    <w:p w:rsidR="00561D5B" w:rsidRDefault="00561D5B" w:rsidP="00561D5B">
      <w:pPr>
        <w:jc w:val="center"/>
        <w:rPr>
          <w:rFonts w:asciiTheme="minorEastAsia" w:hAnsiTheme="minorEastAsia"/>
          <w:b/>
          <w:sz w:val="36"/>
          <w:szCs w:val="36"/>
        </w:rPr>
      </w:pPr>
      <w:r>
        <w:rPr>
          <w:rFonts w:asciiTheme="minorEastAsia" w:hAnsiTheme="minorEastAsia" w:hint="eastAsia"/>
          <w:b/>
          <w:sz w:val="36"/>
          <w:szCs w:val="36"/>
        </w:rPr>
        <w:t>与运行分析报告</w:t>
      </w:r>
    </w:p>
    <w:p w:rsidR="00561D5B" w:rsidRDefault="00561D5B" w:rsidP="00561D5B">
      <w:pPr>
        <w:jc w:val="center"/>
        <w:rPr>
          <w:b/>
          <w:sz w:val="48"/>
          <w:szCs w:val="48"/>
        </w:rPr>
      </w:pPr>
    </w:p>
    <w:p w:rsidR="00561D5B" w:rsidRDefault="00561D5B" w:rsidP="00561D5B">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一、行业基本情况</w:t>
      </w:r>
    </w:p>
    <w:p w:rsidR="00561D5B" w:rsidRDefault="00561D5B" w:rsidP="00561D5B">
      <w:pPr>
        <w:ind w:firstLineChars="200" w:firstLine="640"/>
        <w:rPr>
          <w:rFonts w:ascii="楷体" w:eastAsia="楷体" w:hAnsi="楷体"/>
          <w:sz w:val="32"/>
          <w:szCs w:val="32"/>
        </w:rPr>
      </w:pPr>
      <w:r>
        <w:rPr>
          <w:rFonts w:ascii="楷体" w:eastAsia="楷体" w:hAnsi="楷体" w:hint="eastAsia"/>
          <w:sz w:val="32"/>
          <w:szCs w:val="32"/>
        </w:rPr>
        <w:t>（一）运行情况</w:t>
      </w:r>
    </w:p>
    <w:p w:rsidR="00561D5B" w:rsidRPr="009A4F20"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根据中国皮革行业协会数据，</w:t>
      </w:r>
      <w:r w:rsidRPr="00234BCD">
        <w:rPr>
          <w:rFonts w:ascii="仿宋_GB2312" w:eastAsia="仿宋_GB2312" w:hAnsi="楷体" w:hint="eastAsia"/>
          <w:sz w:val="32"/>
          <w:szCs w:val="32"/>
        </w:rPr>
        <w:t>2019年，</w:t>
      </w:r>
      <w:r w:rsidRPr="00833E32">
        <w:rPr>
          <w:rFonts w:ascii="仿宋_GB2312" w:eastAsia="仿宋_GB2312" w:hAnsi="楷体" w:hint="eastAsia"/>
          <w:sz w:val="32"/>
          <w:szCs w:val="32"/>
        </w:rPr>
        <w:t>规模以上皮革主体行业（制鞋、箱包、制革、皮革服装、毛皮及制品）实现销售收入和利润10981.99亿元和658.37亿元，同比分别下降了0.87%和1.96%；2019年，皮革行业实现出口额868.45亿美元，同比增长1.5%。</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color w:val="000000" w:themeColor="text1"/>
          <w:sz w:val="32"/>
          <w:szCs w:val="32"/>
        </w:rPr>
        <w:t>宁波市皮革行业</w:t>
      </w:r>
      <w:r w:rsidRPr="00E11593">
        <w:rPr>
          <w:rFonts w:ascii="仿宋_GB2312" w:eastAsia="仿宋_GB2312" w:hAnsi="楷体" w:hint="eastAsia"/>
          <w:color w:val="000000" w:themeColor="text1"/>
          <w:sz w:val="32"/>
          <w:szCs w:val="32"/>
        </w:rPr>
        <w:t>协会对协会会员</w:t>
      </w:r>
      <w:r>
        <w:rPr>
          <w:rFonts w:ascii="仿宋_GB2312" w:eastAsia="仿宋_GB2312" w:hAnsi="楷体" w:hint="eastAsia"/>
          <w:color w:val="000000" w:themeColor="text1"/>
          <w:sz w:val="32"/>
          <w:szCs w:val="32"/>
        </w:rPr>
        <w:t>中102家皮革工业企业2019年度经济运行数据进行了统计，其中</w:t>
      </w:r>
      <w:proofErr w:type="gramStart"/>
      <w:r>
        <w:rPr>
          <w:rFonts w:ascii="仿宋_GB2312" w:eastAsia="仿宋_GB2312" w:hAnsi="楷体" w:hint="eastAsia"/>
          <w:color w:val="000000" w:themeColor="text1"/>
          <w:sz w:val="32"/>
          <w:szCs w:val="32"/>
        </w:rPr>
        <w:t>规</w:t>
      </w:r>
      <w:proofErr w:type="gramEnd"/>
      <w:r>
        <w:rPr>
          <w:rFonts w:ascii="仿宋_GB2312" w:eastAsia="仿宋_GB2312" w:hAnsi="楷体" w:hint="eastAsia"/>
          <w:color w:val="000000" w:themeColor="text1"/>
          <w:sz w:val="32"/>
          <w:szCs w:val="32"/>
        </w:rPr>
        <w:t>上企业</w:t>
      </w:r>
      <w:r w:rsidRPr="00E572B4">
        <w:rPr>
          <w:rFonts w:ascii="仿宋_GB2312" w:eastAsia="仿宋_GB2312" w:hAnsi="楷体" w:hint="eastAsia"/>
          <w:sz w:val="32"/>
          <w:szCs w:val="32"/>
        </w:rPr>
        <w:t>2</w:t>
      </w:r>
      <w:r>
        <w:rPr>
          <w:rFonts w:ascii="仿宋_GB2312" w:eastAsia="仿宋_GB2312" w:hAnsi="楷体" w:hint="eastAsia"/>
          <w:sz w:val="32"/>
          <w:szCs w:val="32"/>
        </w:rPr>
        <w:t>6</w:t>
      </w:r>
      <w:r w:rsidRPr="00E572B4">
        <w:rPr>
          <w:rFonts w:ascii="仿宋_GB2312" w:eastAsia="仿宋_GB2312" w:hAnsi="楷体" w:hint="eastAsia"/>
          <w:sz w:val="32"/>
          <w:szCs w:val="32"/>
        </w:rPr>
        <w:t>家。</w:t>
      </w:r>
      <w:r>
        <w:rPr>
          <w:rFonts w:ascii="仿宋_GB2312" w:eastAsia="仿宋_GB2312" w:hAnsi="楷体" w:hint="eastAsia"/>
          <w:sz w:val="32"/>
          <w:szCs w:val="32"/>
        </w:rPr>
        <w:t>以下所有分析全部基于102家协会会员统计数据。据协会统计，2019年，宁波市皮革箱包行业完成工业总产值22.25亿元，同比增长1.27％；完成销售产值22亿元，同比增长2.04％，其中出口10.36亿元，同比增长3.7％；实现利润0.47亿元，同比增长9.3%。</w:t>
      </w:r>
      <w:r w:rsidRPr="00263E14">
        <w:rPr>
          <w:rFonts w:ascii="仿宋_GB2312" w:eastAsia="仿宋_GB2312" w:hAnsi="楷体" w:hint="eastAsia"/>
          <w:sz w:val="32"/>
          <w:szCs w:val="32"/>
        </w:rPr>
        <w:t>从宁波市皮革工业企业细分来看， 2019年度，箱包业完成产值</w:t>
      </w:r>
      <w:r>
        <w:rPr>
          <w:rFonts w:ascii="仿宋_GB2312" w:eastAsia="仿宋_GB2312" w:hAnsi="楷体" w:hint="eastAsia"/>
          <w:sz w:val="32"/>
          <w:szCs w:val="32"/>
        </w:rPr>
        <w:t>13.53</w:t>
      </w:r>
      <w:r w:rsidRPr="00263E14">
        <w:rPr>
          <w:rFonts w:ascii="仿宋_GB2312" w:eastAsia="仿宋_GB2312" w:hAnsi="楷体" w:hint="eastAsia"/>
          <w:sz w:val="32"/>
          <w:szCs w:val="32"/>
        </w:rPr>
        <w:t>亿元，同比增长4.</w:t>
      </w:r>
      <w:r>
        <w:rPr>
          <w:rFonts w:ascii="仿宋_GB2312" w:eastAsia="仿宋_GB2312" w:hAnsi="楷体" w:hint="eastAsia"/>
          <w:sz w:val="32"/>
          <w:szCs w:val="32"/>
        </w:rPr>
        <w:t>72</w:t>
      </w:r>
      <w:r w:rsidRPr="00263E14">
        <w:rPr>
          <w:rFonts w:ascii="仿宋_GB2312" w:eastAsia="仿宋_GB2312" w:hAnsi="楷体" w:hint="eastAsia"/>
          <w:sz w:val="32"/>
          <w:szCs w:val="32"/>
        </w:rPr>
        <w:t>%；制鞋业完成产值</w:t>
      </w:r>
      <w:r>
        <w:rPr>
          <w:rFonts w:ascii="仿宋_GB2312" w:eastAsia="仿宋_GB2312" w:hAnsi="楷体" w:hint="eastAsia"/>
          <w:sz w:val="32"/>
          <w:szCs w:val="32"/>
        </w:rPr>
        <w:t>2.86</w:t>
      </w:r>
      <w:r w:rsidRPr="00263E14">
        <w:rPr>
          <w:rFonts w:ascii="仿宋_GB2312" w:eastAsia="仿宋_GB2312" w:hAnsi="楷体" w:hint="eastAsia"/>
          <w:sz w:val="32"/>
          <w:szCs w:val="32"/>
        </w:rPr>
        <w:t>亿元，同比增长</w:t>
      </w:r>
      <w:r>
        <w:rPr>
          <w:rFonts w:ascii="仿宋_GB2312" w:eastAsia="仿宋_GB2312" w:hAnsi="楷体" w:hint="eastAsia"/>
          <w:sz w:val="32"/>
          <w:szCs w:val="32"/>
        </w:rPr>
        <w:t>1.78</w:t>
      </w:r>
      <w:r w:rsidRPr="00263E14">
        <w:rPr>
          <w:rFonts w:ascii="仿宋_GB2312" w:eastAsia="仿宋_GB2312" w:hAnsi="楷体" w:hint="eastAsia"/>
          <w:sz w:val="32"/>
          <w:szCs w:val="32"/>
        </w:rPr>
        <w:t>%；皮革化工业完成产值1.</w:t>
      </w:r>
      <w:r>
        <w:rPr>
          <w:rFonts w:ascii="仿宋_GB2312" w:eastAsia="仿宋_GB2312" w:hAnsi="楷体" w:hint="eastAsia"/>
          <w:sz w:val="32"/>
          <w:szCs w:val="32"/>
        </w:rPr>
        <w:t>65</w:t>
      </w:r>
      <w:r w:rsidRPr="00263E14">
        <w:rPr>
          <w:rFonts w:ascii="仿宋_GB2312" w:eastAsia="仿宋_GB2312" w:hAnsi="楷体" w:hint="eastAsia"/>
          <w:sz w:val="32"/>
          <w:szCs w:val="32"/>
        </w:rPr>
        <w:t>亿元，同比下降</w:t>
      </w:r>
      <w:r>
        <w:rPr>
          <w:rFonts w:ascii="仿宋_GB2312" w:eastAsia="仿宋_GB2312" w:hAnsi="楷体" w:hint="eastAsia"/>
          <w:sz w:val="32"/>
          <w:szCs w:val="32"/>
        </w:rPr>
        <w:t>19.9</w:t>
      </w:r>
      <w:r w:rsidRPr="00263E14">
        <w:rPr>
          <w:rFonts w:ascii="仿宋_GB2312" w:eastAsia="仿宋_GB2312" w:hAnsi="楷体" w:hint="eastAsia"/>
          <w:sz w:val="32"/>
          <w:szCs w:val="32"/>
        </w:rPr>
        <w:t>%；合成革业完成产值</w:t>
      </w:r>
      <w:r>
        <w:rPr>
          <w:rFonts w:ascii="仿宋_GB2312" w:eastAsia="仿宋_GB2312" w:hAnsi="楷体" w:hint="eastAsia"/>
          <w:sz w:val="32"/>
          <w:szCs w:val="32"/>
        </w:rPr>
        <w:t>3</w:t>
      </w:r>
      <w:r w:rsidRPr="00263E14">
        <w:rPr>
          <w:rFonts w:ascii="仿宋_GB2312" w:eastAsia="仿宋_GB2312" w:hAnsi="楷体" w:hint="eastAsia"/>
          <w:sz w:val="32"/>
          <w:szCs w:val="32"/>
        </w:rPr>
        <w:t>亿元，同比增长</w:t>
      </w:r>
      <w:r>
        <w:rPr>
          <w:rFonts w:ascii="仿宋_GB2312" w:eastAsia="仿宋_GB2312" w:hAnsi="楷体" w:hint="eastAsia"/>
          <w:sz w:val="32"/>
          <w:szCs w:val="32"/>
        </w:rPr>
        <w:t>0.33</w:t>
      </w:r>
      <w:r w:rsidRPr="00263E14">
        <w:rPr>
          <w:rFonts w:ascii="仿宋_GB2312" w:eastAsia="仿宋_GB2312" w:hAnsi="楷体" w:hint="eastAsia"/>
          <w:sz w:val="32"/>
          <w:szCs w:val="32"/>
        </w:rPr>
        <w:t>%。</w:t>
      </w:r>
    </w:p>
    <w:p w:rsidR="00561D5B" w:rsidRDefault="00561D5B" w:rsidP="00561D5B">
      <w:pPr>
        <w:ind w:firstLineChars="200" w:firstLine="640"/>
        <w:rPr>
          <w:rFonts w:ascii="楷体" w:eastAsia="楷体" w:hAnsi="楷体"/>
          <w:sz w:val="32"/>
          <w:szCs w:val="32"/>
        </w:rPr>
      </w:pPr>
      <w:r w:rsidRPr="005A7014">
        <w:rPr>
          <w:rFonts w:ascii="楷体" w:eastAsia="楷体" w:hAnsi="楷体" w:hint="eastAsia"/>
          <w:sz w:val="32"/>
          <w:szCs w:val="32"/>
        </w:rPr>
        <w:t>（二）产业特点</w:t>
      </w:r>
    </w:p>
    <w:p w:rsidR="00561D5B" w:rsidRDefault="00561D5B" w:rsidP="00561D5B">
      <w:pPr>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1、主要经济指标缓慢增长</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2019年度，宁波市皮革行业完成工业生产总值22.25亿元，同比增长1.27%；工业销售产值22亿元，同比增长2.04%；新产品产值3.36亿元，同比增长5%；新产品占比15.1%，同比增长3.71%；主营业务收入21.95亿元，同比增长2.52%；出口交货值10.36亿元，同比增长3.7%；行业产销率98.88%，同比增长0.76%。</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从主要经济数据来看，2019年度宁波市皮革行业整体呈现微弱的增长，行业发展趋于停滞。</w:t>
      </w:r>
    </w:p>
    <w:p w:rsidR="00561D5B" w:rsidRDefault="00561D5B" w:rsidP="00561D5B">
      <w:pPr>
        <w:ind w:firstLineChars="200" w:firstLine="640"/>
        <w:rPr>
          <w:rFonts w:ascii="仿宋_GB2312" w:eastAsia="仿宋_GB2312" w:hAnsi="楷体"/>
          <w:sz w:val="32"/>
          <w:szCs w:val="32"/>
        </w:rPr>
      </w:pPr>
      <w:r w:rsidRPr="00525645">
        <w:rPr>
          <w:rFonts w:ascii="仿宋_GB2312" w:eastAsia="仿宋_GB2312" w:hAnsi="楷体" w:hint="eastAsia"/>
          <w:sz w:val="32"/>
          <w:szCs w:val="32"/>
        </w:rPr>
        <w:t>宁波市皮革行业主要以外向型企业为主，从主要的箱包产业来看，2019年</w:t>
      </w:r>
      <w:r>
        <w:rPr>
          <w:rFonts w:ascii="仿宋_GB2312" w:eastAsia="仿宋_GB2312" w:hAnsi="楷体" w:hint="eastAsia"/>
          <w:sz w:val="32"/>
          <w:szCs w:val="32"/>
        </w:rPr>
        <w:t>度</w:t>
      </w:r>
      <w:r w:rsidRPr="00525645">
        <w:rPr>
          <w:rFonts w:ascii="仿宋_GB2312" w:eastAsia="仿宋_GB2312" w:hAnsi="楷体" w:hint="eastAsia"/>
          <w:sz w:val="32"/>
          <w:szCs w:val="32"/>
        </w:rPr>
        <w:t>，箱包企业出口交货值占箱包工业销售产值的7</w:t>
      </w:r>
      <w:r>
        <w:rPr>
          <w:rFonts w:ascii="仿宋_GB2312" w:eastAsia="仿宋_GB2312" w:hAnsi="楷体" w:hint="eastAsia"/>
          <w:sz w:val="32"/>
          <w:szCs w:val="32"/>
        </w:rPr>
        <w:t>0.35</w:t>
      </w:r>
      <w:r w:rsidRPr="00525645">
        <w:rPr>
          <w:rFonts w:ascii="仿宋_GB2312" w:eastAsia="仿宋_GB2312" w:hAnsi="楷体" w:hint="eastAsia"/>
          <w:sz w:val="32"/>
          <w:szCs w:val="32"/>
        </w:rPr>
        <w:t>%。主要出口模式是国外订单加工</w:t>
      </w:r>
      <w:r>
        <w:rPr>
          <w:rFonts w:ascii="仿宋_GB2312" w:eastAsia="仿宋_GB2312" w:hAnsi="楷体" w:hint="eastAsia"/>
          <w:sz w:val="32"/>
          <w:szCs w:val="32"/>
        </w:rPr>
        <w:t>。因中美贸易摩擦的影响，2019年</w:t>
      </w:r>
      <w:r w:rsidRPr="00525645">
        <w:rPr>
          <w:rFonts w:ascii="仿宋_GB2312" w:eastAsia="仿宋_GB2312" w:hAnsi="楷体" w:hint="eastAsia"/>
          <w:sz w:val="32"/>
          <w:szCs w:val="32"/>
        </w:rPr>
        <w:t>各企业对美出口</w:t>
      </w:r>
      <w:r>
        <w:rPr>
          <w:rFonts w:ascii="仿宋_GB2312" w:eastAsia="仿宋_GB2312" w:hAnsi="楷体" w:hint="eastAsia"/>
          <w:sz w:val="32"/>
          <w:szCs w:val="32"/>
        </w:rPr>
        <w:t>受到</w:t>
      </w:r>
      <w:r w:rsidRPr="00525645">
        <w:rPr>
          <w:rFonts w:ascii="仿宋_GB2312" w:eastAsia="仿宋_GB2312" w:hAnsi="楷体" w:hint="eastAsia"/>
          <w:sz w:val="32"/>
          <w:szCs w:val="32"/>
        </w:rPr>
        <w:t>不同程度</w:t>
      </w:r>
      <w:r>
        <w:rPr>
          <w:rFonts w:ascii="仿宋_GB2312" w:eastAsia="仿宋_GB2312" w:hAnsi="楷体" w:hint="eastAsia"/>
          <w:sz w:val="32"/>
          <w:szCs w:val="32"/>
        </w:rPr>
        <w:t>影响</w:t>
      </w:r>
      <w:r w:rsidRPr="00525645">
        <w:rPr>
          <w:rFonts w:ascii="仿宋_GB2312" w:eastAsia="仿宋_GB2312" w:hAnsi="楷体" w:hint="eastAsia"/>
          <w:sz w:val="32"/>
          <w:szCs w:val="32"/>
        </w:rPr>
        <w:t>，</w:t>
      </w:r>
      <w:r>
        <w:rPr>
          <w:rFonts w:ascii="仿宋_GB2312" w:eastAsia="仿宋_GB2312" w:hAnsi="楷体" w:hint="eastAsia"/>
          <w:sz w:val="32"/>
          <w:szCs w:val="32"/>
        </w:rPr>
        <w:t>也促使</w:t>
      </w:r>
      <w:r w:rsidRPr="00525645">
        <w:rPr>
          <w:rFonts w:ascii="仿宋_GB2312" w:eastAsia="仿宋_GB2312" w:hAnsi="楷体" w:hint="eastAsia"/>
          <w:sz w:val="32"/>
          <w:szCs w:val="32"/>
        </w:rPr>
        <w:t>企业开始寻求新的贸易伙伴，开拓一带一路新兴市场</w:t>
      </w:r>
      <w:r>
        <w:rPr>
          <w:rFonts w:ascii="仿宋_GB2312" w:eastAsia="仿宋_GB2312" w:hAnsi="楷体" w:hint="eastAsia"/>
          <w:sz w:val="32"/>
          <w:szCs w:val="32"/>
        </w:rPr>
        <w:t>，但从调研来看，新兴市场订单种类多，数量少，远没有美国市场的数量和利润</w:t>
      </w:r>
      <w:r w:rsidRPr="00525645">
        <w:rPr>
          <w:rFonts w:ascii="仿宋_GB2312" w:eastAsia="仿宋_GB2312" w:hAnsi="楷体" w:hint="eastAsia"/>
          <w:sz w:val="32"/>
          <w:szCs w:val="32"/>
        </w:rPr>
        <w:t>。</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为了帮助企业拓展市场，协会进行了组织企业参加国内展会，考察国外市场等活动，为企业销售渠道的拓展铺垫道路。</w:t>
      </w:r>
    </w:p>
    <w:p w:rsidR="00561D5B" w:rsidRDefault="00561D5B" w:rsidP="00561D5B">
      <w:pPr>
        <w:widowControl/>
        <w:jc w:val="center"/>
        <w:rPr>
          <w:rFonts w:ascii="仿宋" w:eastAsia="仿宋" w:hAnsi="仿宋"/>
          <w:b/>
          <w:sz w:val="32"/>
          <w:szCs w:val="32"/>
        </w:rPr>
      </w:pPr>
      <w:r>
        <w:rPr>
          <w:rFonts w:ascii="仿宋" w:eastAsia="仿宋" w:hAnsi="仿宋" w:hint="eastAsia"/>
          <w:b/>
          <w:sz w:val="32"/>
          <w:szCs w:val="32"/>
        </w:rPr>
        <w:t>主要经济指标</w:t>
      </w:r>
    </w:p>
    <w:p w:rsidR="00561D5B" w:rsidRDefault="00561D5B" w:rsidP="00561D5B">
      <w:pPr>
        <w:widowControl/>
        <w:jc w:val="center"/>
        <w:rPr>
          <w:rFonts w:ascii="仿宋" w:eastAsia="仿宋" w:hAnsi="仿宋"/>
          <w:b/>
          <w:sz w:val="24"/>
          <w:szCs w:val="24"/>
        </w:rPr>
      </w:pPr>
    </w:p>
    <w:tbl>
      <w:tblPr>
        <w:tblW w:w="8580" w:type="dxa"/>
        <w:jc w:val="center"/>
        <w:tblInd w:w="93" w:type="dxa"/>
        <w:tblLayout w:type="fixed"/>
        <w:tblLook w:val="04A0" w:firstRow="1" w:lastRow="0" w:firstColumn="1" w:lastColumn="0" w:noHBand="0" w:noVBand="1"/>
      </w:tblPr>
      <w:tblGrid>
        <w:gridCol w:w="2240"/>
        <w:gridCol w:w="2440"/>
        <w:gridCol w:w="2300"/>
        <w:gridCol w:w="1600"/>
      </w:tblGrid>
      <w:tr w:rsidR="00561D5B" w:rsidTr="005B500E">
        <w:trPr>
          <w:trHeight w:val="375"/>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主要指标</w:t>
            </w:r>
          </w:p>
        </w:tc>
        <w:tc>
          <w:tcPr>
            <w:tcW w:w="244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2019年度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2018年度</w:t>
            </w:r>
          </w:p>
        </w:tc>
        <w:tc>
          <w:tcPr>
            <w:tcW w:w="160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增长比例</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lastRenderedPageBreak/>
              <w:t>工业总产值</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22.25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21.97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1.27%</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工业销售产值</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22.00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21.56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2.04%</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新产品产值</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3.36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3.20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5.00%</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主营业务收入</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21.95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21.41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2.52%</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出口交货值</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10.36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9.99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3.70%</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产销率</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98.88%</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98.13%</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0.76%</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新产品占比</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15.10%</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14.57%</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3.68%</w:t>
            </w:r>
          </w:p>
        </w:tc>
      </w:tr>
    </w:tbl>
    <w:p w:rsidR="00561D5B" w:rsidRDefault="00561D5B" w:rsidP="00561D5B">
      <w:pPr>
        <w:jc w:val="center"/>
        <w:rPr>
          <w:rFonts w:ascii="楷体" w:eastAsia="楷体" w:hAnsi="楷体"/>
          <w:sz w:val="32"/>
          <w:szCs w:val="32"/>
        </w:rPr>
      </w:pPr>
      <w:r>
        <w:rPr>
          <w:noProof/>
        </w:rPr>
        <w:drawing>
          <wp:inline distT="0" distB="0" distL="0" distR="0" wp14:anchorId="50ED0968" wp14:editId="308EB140">
            <wp:extent cx="5229224" cy="3733800"/>
            <wp:effectExtent l="0" t="0" r="10160" b="1905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1D5B" w:rsidRDefault="00561D5B" w:rsidP="00561D5B">
      <w:pPr>
        <w:jc w:val="center"/>
        <w:rPr>
          <w:rFonts w:ascii="楷体" w:eastAsia="楷体" w:hAnsi="楷体"/>
          <w:sz w:val="32"/>
          <w:szCs w:val="32"/>
        </w:rPr>
      </w:pPr>
    </w:p>
    <w:p w:rsidR="00561D5B" w:rsidRDefault="00561D5B" w:rsidP="00561D5B">
      <w:pPr>
        <w:ind w:firstLineChars="200" w:firstLine="643"/>
        <w:rPr>
          <w:rFonts w:ascii="仿宋_GB2312" w:eastAsia="仿宋_GB2312" w:hAnsi="楷体"/>
          <w:b/>
          <w:sz w:val="32"/>
          <w:szCs w:val="32"/>
        </w:rPr>
      </w:pPr>
      <w:r>
        <w:rPr>
          <w:rFonts w:ascii="仿宋_GB2312" w:eastAsia="仿宋_GB2312" w:hAnsi="楷体" w:hint="eastAsia"/>
          <w:b/>
          <w:sz w:val="32"/>
          <w:szCs w:val="32"/>
        </w:rPr>
        <w:t>2、行业盈利能力稳步上升</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2019年度，行业利润总额为0.47亿元，同比上升9.3%；企业销售利润率为2.14%，同比上升7.12%；利税总额1.24亿元，同比上升5.08%。</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lastRenderedPageBreak/>
        <w:t>2019年，行业利润呈现了较好的增长趋势，明细看来，一些有自主品牌，近年来持续支持研发的企业利润增长较快。</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2019年度，宁波市皮革箱包行业从业人员6857人，同比下降0.68%，</w:t>
      </w:r>
      <w:r w:rsidRPr="00804436">
        <w:rPr>
          <w:rFonts w:ascii="仿宋_GB2312" w:eastAsia="仿宋_GB2312" w:hAnsi="楷体" w:hint="eastAsia"/>
          <w:sz w:val="32"/>
          <w:szCs w:val="32"/>
        </w:rPr>
        <w:t>皮革箱包行业主要都是劳动密集型企业，</w:t>
      </w:r>
      <w:r>
        <w:rPr>
          <w:rFonts w:ascii="仿宋_GB2312" w:eastAsia="仿宋_GB2312" w:hAnsi="楷体" w:hint="eastAsia"/>
          <w:sz w:val="32"/>
          <w:szCs w:val="32"/>
        </w:rPr>
        <w:t>近几年技术工人老龄化、招工难等一直是困扰企业的问题。协会鼓励企业开展机器换人，提高生产效率。通过组织对接设备生产企业、考察相关展会等，进一步推进企业引进先进设备和工艺。</w:t>
      </w:r>
    </w:p>
    <w:p w:rsidR="00561D5B" w:rsidRPr="00804436"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宁波</w:t>
      </w:r>
      <w:r>
        <w:rPr>
          <w:rFonts w:ascii="仿宋_GB2312" w:eastAsia="仿宋_GB2312" w:hAnsi="楷体"/>
          <w:sz w:val="32"/>
          <w:szCs w:val="32"/>
        </w:rPr>
        <w:t>皮革企业通过多年开拓欧美中高端市场</w:t>
      </w:r>
      <w:r>
        <w:rPr>
          <w:rFonts w:ascii="仿宋_GB2312" w:eastAsia="仿宋_GB2312" w:hAnsi="楷体" w:hint="eastAsia"/>
          <w:sz w:val="32"/>
          <w:szCs w:val="32"/>
        </w:rPr>
        <w:t>，</w:t>
      </w:r>
      <w:r>
        <w:rPr>
          <w:rFonts w:ascii="仿宋_GB2312" w:eastAsia="仿宋_GB2312" w:hAnsi="楷体"/>
          <w:sz w:val="32"/>
          <w:szCs w:val="32"/>
        </w:rPr>
        <w:t>产品质量稳步提升</w:t>
      </w:r>
      <w:r>
        <w:rPr>
          <w:rFonts w:ascii="仿宋_GB2312" w:eastAsia="仿宋_GB2312" w:hAnsi="楷体" w:hint="eastAsia"/>
          <w:sz w:val="32"/>
          <w:szCs w:val="32"/>
        </w:rPr>
        <w:t>，</w:t>
      </w:r>
      <w:r>
        <w:rPr>
          <w:rFonts w:ascii="仿宋_GB2312" w:eastAsia="仿宋_GB2312" w:hAnsi="楷体"/>
          <w:sz w:val="32"/>
          <w:szCs w:val="32"/>
        </w:rPr>
        <w:t>以此为基础</w:t>
      </w:r>
      <w:r>
        <w:rPr>
          <w:rFonts w:ascii="仿宋_GB2312" w:eastAsia="仿宋_GB2312" w:hAnsi="楷体" w:hint="eastAsia"/>
          <w:sz w:val="32"/>
          <w:szCs w:val="32"/>
        </w:rPr>
        <w:t>，</w:t>
      </w:r>
      <w:r>
        <w:rPr>
          <w:rFonts w:ascii="仿宋_GB2312" w:eastAsia="仿宋_GB2312" w:hAnsi="楷体"/>
          <w:sz w:val="32"/>
          <w:szCs w:val="32"/>
        </w:rPr>
        <w:t>在近几年政府提倡时尚产业发展的背景下</w:t>
      </w:r>
      <w:r>
        <w:rPr>
          <w:rFonts w:ascii="仿宋_GB2312" w:eastAsia="仿宋_GB2312" w:hAnsi="楷体" w:hint="eastAsia"/>
          <w:sz w:val="32"/>
          <w:szCs w:val="32"/>
        </w:rPr>
        <w:t>，</w:t>
      </w:r>
      <w:r>
        <w:rPr>
          <w:rFonts w:ascii="仿宋_GB2312" w:eastAsia="仿宋_GB2312" w:hAnsi="楷体"/>
          <w:sz w:val="32"/>
          <w:szCs w:val="32"/>
        </w:rPr>
        <w:t>皮革行业中箱包</w:t>
      </w:r>
      <w:r>
        <w:rPr>
          <w:rFonts w:ascii="仿宋_GB2312" w:eastAsia="仿宋_GB2312" w:hAnsi="楷体" w:hint="eastAsia"/>
          <w:sz w:val="32"/>
          <w:szCs w:val="32"/>
        </w:rPr>
        <w:t>、</w:t>
      </w:r>
      <w:r>
        <w:rPr>
          <w:rFonts w:ascii="仿宋_GB2312" w:eastAsia="仿宋_GB2312" w:hAnsi="楷体"/>
          <w:sz w:val="32"/>
          <w:szCs w:val="32"/>
        </w:rPr>
        <w:t>制鞋等企业也逐步进行品牌发展</w:t>
      </w:r>
      <w:r>
        <w:rPr>
          <w:rFonts w:ascii="仿宋_GB2312" w:eastAsia="仿宋_GB2312" w:hAnsi="楷体" w:hint="eastAsia"/>
          <w:sz w:val="32"/>
          <w:szCs w:val="32"/>
        </w:rPr>
        <w:t>的尝试。</w:t>
      </w:r>
    </w:p>
    <w:p w:rsidR="00561D5B" w:rsidRDefault="00561D5B" w:rsidP="00561D5B">
      <w:pPr>
        <w:ind w:firstLineChars="200" w:firstLine="643"/>
        <w:jc w:val="center"/>
        <w:rPr>
          <w:rFonts w:ascii="仿宋" w:eastAsia="仿宋" w:hAnsi="仿宋"/>
          <w:b/>
          <w:sz w:val="32"/>
          <w:szCs w:val="32"/>
        </w:rPr>
      </w:pPr>
      <w:r>
        <w:rPr>
          <w:rFonts w:ascii="仿宋" w:eastAsia="仿宋" w:hAnsi="仿宋" w:hint="eastAsia"/>
          <w:b/>
          <w:sz w:val="32"/>
          <w:szCs w:val="32"/>
        </w:rPr>
        <w:t>企业盈利能力指标</w:t>
      </w:r>
    </w:p>
    <w:tbl>
      <w:tblPr>
        <w:tblW w:w="8580" w:type="dxa"/>
        <w:jc w:val="center"/>
        <w:tblInd w:w="93" w:type="dxa"/>
        <w:tblLayout w:type="fixed"/>
        <w:tblLook w:val="04A0" w:firstRow="1" w:lastRow="0" w:firstColumn="1" w:lastColumn="0" w:noHBand="0" w:noVBand="1"/>
      </w:tblPr>
      <w:tblGrid>
        <w:gridCol w:w="2240"/>
        <w:gridCol w:w="2440"/>
        <w:gridCol w:w="2300"/>
        <w:gridCol w:w="1600"/>
      </w:tblGrid>
      <w:tr w:rsidR="00561D5B" w:rsidTr="005B500E">
        <w:trPr>
          <w:trHeight w:val="375"/>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经济指标</w:t>
            </w:r>
          </w:p>
        </w:tc>
        <w:tc>
          <w:tcPr>
            <w:tcW w:w="244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2019年度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2018年度</w:t>
            </w:r>
          </w:p>
        </w:tc>
        <w:tc>
          <w:tcPr>
            <w:tcW w:w="160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增加比例</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营业收入</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22.00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21.56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2.04%</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利税总额</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1.24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1.18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5.08%</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利润总额</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0.47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0.43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9.30%</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销售利润率</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2.14%</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1.99%</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7.12%</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从业人员（人）</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6857</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6904</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-0.68%</w:t>
            </w:r>
          </w:p>
        </w:tc>
      </w:tr>
    </w:tbl>
    <w:p w:rsidR="00561D5B" w:rsidRDefault="00561D5B" w:rsidP="00561D5B">
      <w:pPr>
        <w:jc w:val="center"/>
        <w:rPr>
          <w:rFonts w:ascii="仿宋" w:eastAsia="仿宋" w:hAnsi="仿宋"/>
          <w:b/>
          <w:sz w:val="32"/>
          <w:szCs w:val="32"/>
        </w:rPr>
      </w:pPr>
      <w:r>
        <w:rPr>
          <w:noProof/>
        </w:rPr>
        <w:lastRenderedPageBreak/>
        <w:drawing>
          <wp:inline distT="0" distB="0" distL="0" distR="0" wp14:anchorId="6D32AF40" wp14:editId="4C7A23A2">
            <wp:extent cx="5219700" cy="3209925"/>
            <wp:effectExtent l="0" t="0" r="19050" b="952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1D5B" w:rsidRDefault="00561D5B" w:rsidP="00561D5B">
      <w:pPr>
        <w:ind w:firstLineChars="200" w:firstLine="643"/>
        <w:jc w:val="center"/>
        <w:rPr>
          <w:rFonts w:ascii="仿宋" w:eastAsia="仿宋" w:hAnsi="仿宋"/>
          <w:b/>
          <w:sz w:val="32"/>
          <w:szCs w:val="32"/>
        </w:rPr>
      </w:pPr>
    </w:p>
    <w:p w:rsidR="00561D5B" w:rsidRDefault="00561D5B" w:rsidP="00561D5B">
      <w:pPr>
        <w:ind w:firstLineChars="200" w:firstLine="643"/>
        <w:rPr>
          <w:rFonts w:ascii="仿宋_GB2312" w:eastAsia="仿宋_GB2312" w:hAnsi="楷体"/>
          <w:b/>
          <w:sz w:val="32"/>
          <w:szCs w:val="32"/>
        </w:rPr>
      </w:pPr>
      <w:r>
        <w:rPr>
          <w:rFonts w:ascii="仿宋_GB2312" w:eastAsia="仿宋_GB2312" w:hAnsi="楷体" w:hint="eastAsia"/>
          <w:b/>
          <w:sz w:val="32"/>
          <w:szCs w:val="32"/>
        </w:rPr>
        <w:t>3、行业资产增长较缓</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2019年度，宁波市皮革箱包行业资产总额16.33亿元，同比增长0.74%；负债总额9.56亿元，同比增长1.16%；净资产6.77亿元，同比增长0.15%； 负债率58.54%，同比增长0.42%。</w:t>
      </w:r>
    </w:p>
    <w:p w:rsidR="00561D5B" w:rsidRPr="00483675" w:rsidRDefault="00561D5B" w:rsidP="00561D5B">
      <w:pPr>
        <w:ind w:firstLineChars="200" w:firstLine="640"/>
        <w:rPr>
          <w:rFonts w:ascii="仿宋_GB2312" w:eastAsia="仿宋_GB2312" w:hAnsi="楷体"/>
          <w:sz w:val="32"/>
          <w:szCs w:val="32"/>
        </w:rPr>
      </w:pPr>
      <w:r w:rsidRPr="00483675">
        <w:rPr>
          <w:rFonts w:ascii="仿宋_GB2312" w:eastAsia="仿宋_GB2312" w:hAnsi="楷体" w:hint="eastAsia"/>
          <w:sz w:val="32"/>
          <w:szCs w:val="32"/>
        </w:rPr>
        <w:t>行业资产增长速度较为缓慢，</w:t>
      </w:r>
      <w:r>
        <w:rPr>
          <w:rFonts w:ascii="仿宋_GB2312" w:eastAsia="仿宋_GB2312" w:hAnsi="楷体" w:hint="eastAsia"/>
          <w:sz w:val="32"/>
          <w:szCs w:val="32"/>
        </w:rPr>
        <w:t>负债率有微弱上升，受国际贸易形势影响，今年产业投资增速较慢，多数都对行业发展形势持观望态度。小</w:t>
      </w:r>
      <w:proofErr w:type="gramStart"/>
      <w:r>
        <w:rPr>
          <w:rFonts w:ascii="仿宋_GB2312" w:eastAsia="仿宋_GB2312" w:hAnsi="楷体" w:hint="eastAsia"/>
          <w:sz w:val="32"/>
          <w:szCs w:val="32"/>
        </w:rPr>
        <w:t>微企业</w:t>
      </w:r>
      <w:proofErr w:type="gramEnd"/>
      <w:r>
        <w:rPr>
          <w:rFonts w:ascii="仿宋_GB2312" w:eastAsia="仿宋_GB2312" w:hAnsi="楷体" w:hint="eastAsia"/>
          <w:sz w:val="32"/>
          <w:szCs w:val="32"/>
        </w:rPr>
        <w:t>融资难一直是一个困扰企业的问题，小</w:t>
      </w:r>
      <w:proofErr w:type="gramStart"/>
      <w:r>
        <w:rPr>
          <w:rFonts w:ascii="仿宋_GB2312" w:eastAsia="仿宋_GB2312" w:hAnsi="楷体" w:hint="eastAsia"/>
          <w:sz w:val="32"/>
          <w:szCs w:val="32"/>
        </w:rPr>
        <w:t>微企业</w:t>
      </w:r>
      <w:proofErr w:type="gramEnd"/>
      <w:r>
        <w:rPr>
          <w:rFonts w:ascii="仿宋_GB2312" w:eastAsia="仿宋_GB2312" w:hAnsi="楷体" w:hint="eastAsia"/>
          <w:sz w:val="32"/>
          <w:szCs w:val="32"/>
        </w:rPr>
        <w:t>抵押资产太少，信用贷款成本太高，一定程度上阻碍了小</w:t>
      </w:r>
      <w:proofErr w:type="gramStart"/>
      <w:r>
        <w:rPr>
          <w:rFonts w:ascii="仿宋_GB2312" w:eastAsia="仿宋_GB2312" w:hAnsi="楷体" w:hint="eastAsia"/>
          <w:sz w:val="32"/>
          <w:szCs w:val="32"/>
        </w:rPr>
        <w:t>微企业</w:t>
      </w:r>
      <w:proofErr w:type="gramEnd"/>
      <w:r>
        <w:rPr>
          <w:rFonts w:ascii="仿宋_GB2312" w:eastAsia="仿宋_GB2312" w:hAnsi="楷体" w:hint="eastAsia"/>
          <w:sz w:val="32"/>
          <w:szCs w:val="32"/>
        </w:rPr>
        <w:t>的发展。</w:t>
      </w:r>
    </w:p>
    <w:p w:rsidR="00561D5B" w:rsidRDefault="00561D5B" w:rsidP="00561D5B">
      <w:pPr>
        <w:jc w:val="center"/>
        <w:rPr>
          <w:rFonts w:ascii="仿宋_GB2312" w:eastAsia="仿宋_GB2312" w:hAnsi="楷体"/>
          <w:b/>
          <w:sz w:val="32"/>
          <w:szCs w:val="32"/>
        </w:rPr>
      </w:pPr>
      <w:r>
        <w:rPr>
          <w:rFonts w:ascii="仿宋_GB2312" w:eastAsia="仿宋_GB2312" w:hAnsi="楷体" w:hint="eastAsia"/>
          <w:b/>
          <w:sz w:val="32"/>
          <w:szCs w:val="32"/>
        </w:rPr>
        <w:t>行业资产状况指标</w:t>
      </w:r>
    </w:p>
    <w:tbl>
      <w:tblPr>
        <w:tblW w:w="8580" w:type="dxa"/>
        <w:jc w:val="center"/>
        <w:tblInd w:w="93" w:type="dxa"/>
        <w:tblLayout w:type="fixed"/>
        <w:tblLook w:val="04A0" w:firstRow="1" w:lastRow="0" w:firstColumn="1" w:lastColumn="0" w:noHBand="0" w:noVBand="1"/>
      </w:tblPr>
      <w:tblGrid>
        <w:gridCol w:w="2240"/>
        <w:gridCol w:w="2440"/>
        <w:gridCol w:w="2300"/>
        <w:gridCol w:w="1600"/>
      </w:tblGrid>
      <w:tr w:rsidR="00561D5B" w:rsidTr="005B500E">
        <w:trPr>
          <w:trHeight w:val="375"/>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经济指标</w:t>
            </w:r>
          </w:p>
        </w:tc>
        <w:tc>
          <w:tcPr>
            <w:tcW w:w="244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2019年度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2018年度</w:t>
            </w:r>
          </w:p>
        </w:tc>
        <w:tc>
          <w:tcPr>
            <w:tcW w:w="1600" w:type="dxa"/>
            <w:tcBorders>
              <w:top w:val="single" w:sz="4" w:space="0" w:color="auto"/>
              <w:left w:val="nil"/>
              <w:bottom w:val="single" w:sz="4" w:space="0" w:color="auto"/>
              <w:right w:val="single" w:sz="4" w:space="0" w:color="auto"/>
            </w:tcBorders>
            <w:shd w:val="clear" w:color="auto" w:fill="auto"/>
            <w:vAlign w:val="center"/>
          </w:tcPr>
          <w:p w:rsidR="00561D5B" w:rsidRDefault="00561D5B"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增长比例</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lastRenderedPageBreak/>
              <w:t>资产总额</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16.33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16.21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0.74%</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负债总额</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9.56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9.45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1.16%</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净资产</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6.77 </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 xml:space="preserve">6.76 </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0.15%</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负债率</w:t>
            </w:r>
          </w:p>
        </w:tc>
        <w:tc>
          <w:tcPr>
            <w:tcW w:w="244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58.54%</w:t>
            </w:r>
          </w:p>
        </w:tc>
        <w:tc>
          <w:tcPr>
            <w:tcW w:w="23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58.30%</w:t>
            </w:r>
          </w:p>
        </w:tc>
        <w:tc>
          <w:tcPr>
            <w:tcW w:w="1600" w:type="dxa"/>
            <w:tcBorders>
              <w:top w:val="nil"/>
              <w:left w:val="nil"/>
              <w:bottom w:val="single" w:sz="4" w:space="0" w:color="auto"/>
              <w:right w:val="single" w:sz="4" w:space="0" w:color="auto"/>
            </w:tcBorders>
            <w:shd w:val="clear" w:color="auto" w:fill="auto"/>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0.42%</w:t>
            </w:r>
          </w:p>
        </w:tc>
      </w:tr>
    </w:tbl>
    <w:p w:rsidR="00561D5B" w:rsidRDefault="00561D5B" w:rsidP="00561D5B">
      <w:pPr>
        <w:jc w:val="center"/>
        <w:rPr>
          <w:rFonts w:ascii="仿宋_GB2312" w:eastAsia="仿宋_GB2312" w:hAnsi="楷体"/>
          <w:b/>
          <w:sz w:val="32"/>
          <w:szCs w:val="32"/>
        </w:rPr>
      </w:pPr>
      <w:r>
        <w:rPr>
          <w:noProof/>
        </w:rPr>
        <w:drawing>
          <wp:inline distT="0" distB="0" distL="0" distR="0" wp14:anchorId="04B5E196" wp14:editId="509BE1E7">
            <wp:extent cx="5229226" cy="3519488"/>
            <wp:effectExtent l="0" t="0" r="9525" b="2413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1D5B" w:rsidRDefault="00561D5B" w:rsidP="00561D5B">
      <w:pPr>
        <w:jc w:val="center"/>
        <w:rPr>
          <w:rFonts w:ascii="仿宋_GB2312" w:eastAsia="仿宋_GB2312" w:hAnsi="楷体"/>
          <w:b/>
          <w:sz w:val="32"/>
          <w:szCs w:val="32"/>
        </w:rPr>
      </w:pPr>
    </w:p>
    <w:p w:rsidR="00561D5B" w:rsidRDefault="00561D5B" w:rsidP="00561D5B">
      <w:pPr>
        <w:ind w:firstLineChars="200" w:firstLine="643"/>
        <w:rPr>
          <w:rFonts w:ascii="仿宋_GB2312" w:eastAsia="仿宋_GB2312" w:hAnsi="楷体"/>
          <w:b/>
          <w:sz w:val="32"/>
          <w:szCs w:val="32"/>
        </w:rPr>
      </w:pPr>
      <w:r w:rsidRPr="005879C0">
        <w:rPr>
          <w:rFonts w:ascii="仿宋_GB2312" w:eastAsia="仿宋_GB2312" w:hAnsi="楷体" w:hint="eastAsia"/>
          <w:b/>
          <w:sz w:val="32"/>
          <w:szCs w:val="32"/>
        </w:rPr>
        <w:t>4、行业设备改造及研发情况</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经过对企业设备改造及研发支出情况的调研，2019年度有这方面数据的企业有14家，2019年度设备改造及研发支出为1.23亿元，同比增长4.24%。</w:t>
      </w:r>
    </w:p>
    <w:p w:rsidR="00561D5B" w:rsidRPr="00AE2B34" w:rsidRDefault="00561D5B" w:rsidP="00561D5B">
      <w:pPr>
        <w:ind w:firstLineChars="200" w:firstLine="640"/>
        <w:rPr>
          <w:rFonts w:ascii="仿宋_GB2312" w:eastAsia="仿宋_GB2312" w:hAnsi="楷体"/>
          <w:sz w:val="32"/>
          <w:szCs w:val="32"/>
        </w:rPr>
      </w:pPr>
      <w:r w:rsidRPr="00F00EF6">
        <w:rPr>
          <w:rFonts w:ascii="仿宋_GB2312" w:eastAsia="仿宋_GB2312" w:hAnsi="楷体" w:hint="eastAsia"/>
          <w:sz w:val="32"/>
          <w:szCs w:val="32"/>
        </w:rPr>
        <w:t>从企业数量来看，有研发投入的企业只占此次统计企业的</w:t>
      </w:r>
      <w:r>
        <w:rPr>
          <w:rFonts w:ascii="仿宋_GB2312" w:eastAsia="仿宋_GB2312" w:hAnsi="楷体" w:hint="eastAsia"/>
          <w:sz w:val="32"/>
          <w:szCs w:val="32"/>
        </w:rPr>
        <w:t>13.72</w:t>
      </w:r>
      <w:r w:rsidRPr="00F00EF6">
        <w:rPr>
          <w:rFonts w:ascii="仿宋_GB2312" w:eastAsia="仿宋_GB2312" w:hAnsi="楷体" w:hint="eastAsia"/>
          <w:sz w:val="32"/>
          <w:szCs w:val="32"/>
        </w:rPr>
        <w:t>%</w:t>
      </w:r>
      <w:r w:rsidRPr="00AE2B34">
        <w:rPr>
          <w:rFonts w:ascii="仿宋_GB2312" w:eastAsia="仿宋_GB2312" w:hAnsi="楷体" w:hint="eastAsia"/>
          <w:sz w:val="32"/>
          <w:szCs w:val="32"/>
        </w:rPr>
        <w:t>，</w:t>
      </w:r>
      <w:r>
        <w:rPr>
          <w:rFonts w:ascii="仿宋_GB2312" w:eastAsia="仿宋_GB2312" w:hAnsi="楷体" w:hint="eastAsia"/>
          <w:sz w:val="32"/>
          <w:szCs w:val="32"/>
        </w:rPr>
        <w:t>相对来说比例较小，增速也较为缓慢。宁波皮革行业中企业用到最多的主要是缝制设备、裁剪设备等，2019年，行业需求的设备在自动化方面还没有较大的提升，行业</w:t>
      </w:r>
      <w:r>
        <w:rPr>
          <w:rFonts w:ascii="仿宋_GB2312" w:eastAsia="仿宋_GB2312" w:hAnsi="楷体" w:hint="eastAsia"/>
          <w:sz w:val="32"/>
          <w:szCs w:val="32"/>
        </w:rPr>
        <w:lastRenderedPageBreak/>
        <w:t>的生产整体上还是以人工为主。在产品研发方面，随着服装及鞋服饰品等行业时尚化的发展，以及消费者对产品的个性化需求，促使宁波箱包制鞋等皮革行业企业对产品研发愈加重视，协会也通过举办设计服务对接会，牵线校企合作等方式推动行业产品研发的力度，促进产业向时尚化、高端化发展。</w:t>
      </w:r>
      <w:r w:rsidRPr="00AE2B34">
        <w:rPr>
          <w:rFonts w:ascii="仿宋_GB2312" w:eastAsia="仿宋_GB2312" w:hAnsi="楷体"/>
          <w:sz w:val="32"/>
          <w:szCs w:val="32"/>
        </w:rPr>
        <w:t xml:space="preserve"> </w:t>
      </w:r>
    </w:p>
    <w:p w:rsidR="00561D5B" w:rsidRDefault="00561D5B" w:rsidP="00561D5B">
      <w:pPr>
        <w:ind w:firstLineChars="200" w:firstLine="643"/>
        <w:rPr>
          <w:rFonts w:ascii="仿宋_GB2312" w:eastAsia="仿宋_GB2312" w:hAnsi="楷体"/>
          <w:b/>
          <w:sz w:val="32"/>
          <w:szCs w:val="32"/>
        </w:rPr>
      </w:pPr>
      <w:r w:rsidRPr="00CF7F80">
        <w:rPr>
          <w:rFonts w:ascii="仿宋_GB2312" w:eastAsia="仿宋_GB2312" w:hAnsi="楷体" w:hint="eastAsia"/>
          <w:b/>
          <w:sz w:val="32"/>
          <w:szCs w:val="32"/>
        </w:rPr>
        <w:t>5、行业电子商务发展情况</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宁波市皮革箱包行业主要的电商销售产品是箱包、鞋、小皮件等产品，2019年度皮革箱包</w:t>
      </w:r>
      <w:proofErr w:type="gramStart"/>
      <w:r>
        <w:rPr>
          <w:rFonts w:ascii="仿宋_GB2312" w:eastAsia="仿宋_GB2312" w:hAnsi="楷体" w:hint="eastAsia"/>
          <w:sz w:val="32"/>
          <w:szCs w:val="32"/>
        </w:rPr>
        <w:t>行业电商渠道</w:t>
      </w:r>
      <w:proofErr w:type="gramEnd"/>
      <w:r>
        <w:rPr>
          <w:rFonts w:ascii="仿宋_GB2312" w:eastAsia="仿宋_GB2312" w:hAnsi="楷体" w:hint="eastAsia"/>
          <w:sz w:val="32"/>
          <w:szCs w:val="32"/>
        </w:rPr>
        <w:t>销售额为1.88亿元，同比</w:t>
      </w:r>
      <w:r w:rsidRPr="00F00EF6">
        <w:rPr>
          <w:rFonts w:ascii="仿宋_GB2312" w:eastAsia="仿宋_GB2312" w:hAnsi="楷体" w:hint="eastAsia"/>
          <w:sz w:val="32"/>
          <w:szCs w:val="32"/>
        </w:rPr>
        <w:t>增长</w:t>
      </w:r>
      <w:r>
        <w:rPr>
          <w:rFonts w:ascii="仿宋_GB2312" w:eastAsia="仿宋_GB2312" w:hAnsi="楷体" w:hint="eastAsia"/>
          <w:sz w:val="32"/>
          <w:szCs w:val="32"/>
        </w:rPr>
        <w:t>5.03%，增速逐渐放缓。</w:t>
      </w:r>
      <w:proofErr w:type="gramStart"/>
      <w:r>
        <w:rPr>
          <w:rFonts w:ascii="仿宋_GB2312" w:eastAsia="仿宋_GB2312" w:hAnsi="楷体" w:hint="eastAsia"/>
          <w:sz w:val="32"/>
          <w:szCs w:val="32"/>
        </w:rPr>
        <w:t>企业电</w:t>
      </w:r>
      <w:proofErr w:type="gramEnd"/>
      <w:r>
        <w:rPr>
          <w:rFonts w:ascii="仿宋_GB2312" w:eastAsia="仿宋_GB2312" w:hAnsi="楷体" w:hint="eastAsia"/>
          <w:sz w:val="32"/>
          <w:szCs w:val="32"/>
        </w:rPr>
        <w:t>商销售渠道除了传统</w:t>
      </w:r>
      <w:proofErr w:type="gramStart"/>
      <w:r>
        <w:rPr>
          <w:rFonts w:ascii="仿宋_GB2312" w:eastAsia="仿宋_GB2312" w:hAnsi="楷体" w:hint="eastAsia"/>
          <w:sz w:val="32"/>
          <w:szCs w:val="32"/>
        </w:rPr>
        <w:t>的淘宝和</w:t>
      </w:r>
      <w:proofErr w:type="gramEnd"/>
      <w:r>
        <w:rPr>
          <w:rFonts w:ascii="仿宋_GB2312" w:eastAsia="仿宋_GB2312" w:hAnsi="楷体" w:hint="eastAsia"/>
          <w:sz w:val="32"/>
          <w:szCs w:val="32"/>
        </w:rPr>
        <w:t>京东的店铺外，现在也有企业开始</w:t>
      </w:r>
      <w:proofErr w:type="gramStart"/>
      <w:r>
        <w:rPr>
          <w:rFonts w:ascii="仿宋_GB2312" w:eastAsia="仿宋_GB2312" w:hAnsi="楷体" w:hint="eastAsia"/>
          <w:sz w:val="32"/>
          <w:szCs w:val="32"/>
        </w:rPr>
        <w:t>尝试微信小</w:t>
      </w:r>
      <w:proofErr w:type="gramEnd"/>
      <w:r>
        <w:rPr>
          <w:rFonts w:ascii="仿宋_GB2312" w:eastAsia="仿宋_GB2312" w:hAnsi="楷体" w:hint="eastAsia"/>
          <w:sz w:val="32"/>
          <w:szCs w:val="32"/>
        </w:rPr>
        <w:t>程序</w:t>
      </w:r>
      <w:proofErr w:type="gramStart"/>
      <w:r>
        <w:rPr>
          <w:rFonts w:ascii="仿宋_GB2312" w:eastAsia="仿宋_GB2312" w:hAnsi="楷体" w:hint="eastAsia"/>
          <w:sz w:val="32"/>
          <w:szCs w:val="32"/>
        </w:rPr>
        <w:t>的直卖平台</w:t>
      </w:r>
      <w:proofErr w:type="gramEnd"/>
      <w:r>
        <w:rPr>
          <w:rFonts w:ascii="仿宋_GB2312" w:eastAsia="仿宋_GB2312" w:hAnsi="楷体" w:hint="eastAsia"/>
          <w:sz w:val="32"/>
          <w:szCs w:val="32"/>
        </w:rPr>
        <w:t>等多种渠道。通过线上平台的开发，推动了企业内销市场的布局。</w:t>
      </w:r>
    </w:p>
    <w:p w:rsidR="00561D5B" w:rsidRDefault="00561D5B" w:rsidP="00561D5B">
      <w:pPr>
        <w:ind w:firstLineChars="200" w:firstLine="643"/>
        <w:rPr>
          <w:rFonts w:ascii="仿宋_GB2312" w:eastAsia="仿宋_GB2312" w:hAnsi="楷体"/>
          <w:b/>
          <w:sz w:val="32"/>
          <w:szCs w:val="32"/>
        </w:rPr>
      </w:pPr>
      <w:r w:rsidRPr="00AD58E2">
        <w:rPr>
          <w:rFonts w:ascii="仿宋_GB2312" w:eastAsia="仿宋_GB2312" w:hAnsi="楷体" w:hint="eastAsia"/>
          <w:b/>
          <w:sz w:val="32"/>
          <w:szCs w:val="32"/>
        </w:rPr>
        <w:t>6、细分行业情况</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此次统计调研的企业主要分为箱包业、制鞋业、皮革化工业、合成革业及其他产品。其中，箱包业</w:t>
      </w:r>
      <w:r>
        <w:rPr>
          <w:rFonts w:ascii="仿宋" w:eastAsia="仿宋" w:hAnsi="仿宋" w:hint="eastAsia"/>
          <w:sz w:val="32"/>
          <w:szCs w:val="32"/>
        </w:rPr>
        <w:t>2019年度</w:t>
      </w:r>
      <w:r>
        <w:rPr>
          <w:rFonts w:ascii="仿宋_GB2312" w:eastAsia="仿宋_GB2312" w:hAnsi="楷体" w:hint="eastAsia"/>
          <w:sz w:val="32"/>
          <w:szCs w:val="32"/>
        </w:rPr>
        <w:t>产值占整个行业的60.81%，制鞋业占12.85%，合成革业占13.48%，皮革化工业占7.42%，其他产品为5.44%。</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sz w:val="32"/>
          <w:szCs w:val="32"/>
        </w:rPr>
        <w:t>宁波皮革行业以箱包企业为主</w:t>
      </w:r>
      <w:r>
        <w:rPr>
          <w:rFonts w:ascii="仿宋_GB2312" w:eastAsia="仿宋_GB2312" w:hAnsi="楷体" w:hint="eastAsia"/>
          <w:sz w:val="32"/>
          <w:szCs w:val="32"/>
        </w:rPr>
        <w:t>，箱包企业中多数是小微企业，箱包企业外向型程度较高，2019年，统计的箱包企业外贸出口额占销售产值的71.13%。</w:t>
      </w:r>
    </w:p>
    <w:p w:rsidR="00561D5B" w:rsidRDefault="00561D5B" w:rsidP="00561D5B">
      <w:pPr>
        <w:widowControl/>
        <w:jc w:val="left"/>
        <w:rPr>
          <w:rFonts w:ascii="仿宋_GB2312" w:eastAsia="仿宋_GB2312" w:hAnsi="楷体"/>
          <w:b/>
          <w:sz w:val="32"/>
          <w:szCs w:val="32"/>
        </w:rPr>
      </w:pPr>
    </w:p>
    <w:p w:rsidR="00561D5B" w:rsidRDefault="00561D5B" w:rsidP="00561D5B">
      <w:pPr>
        <w:jc w:val="center"/>
        <w:rPr>
          <w:rFonts w:ascii="仿宋_GB2312" w:eastAsia="仿宋_GB2312" w:hAnsi="楷体"/>
          <w:b/>
          <w:sz w:val="32"/>
          <w:szCs w:val="32"/>
        </w:rPr>
      </w:pPr>
      <w:r>
        <w:rPr>
          <w:rFonts w:ascii="仿宋_GB2312" w:eastAsia="仿宋_GB2312" w:hAnsi="楷体" w:hint="eastAsia"/>
          <w:b/>
          <w:sz w:val="32"/>
          <w:szCs w:val="32"/>
        </w:rPr>
        <w:lastRenderedPageBreak/>
        <w:t>细分行业产值占比</w:t>
      </w:r>
    </w:p>
    <w:tbl>
      <w:tblPr>
        <w:tblStyle w:val="a5"/>
        <w:tblW w:w="0" w:type="auto"/>
        <w:jc w:val="center"/>
        <w:tblLook w:val="04A0" w:firstRow="1" w:lastRow="0" w:firstColumn="1" w:lastColumn="0" w:noHBand="0" w:noVBand="1"/>
      </w:tblPr>
      <w:tblGrid>
        <w:gridCol w:w="2240"/>
        <w:gridCol w:w="2440"/>
        <w:gridCol w:w="2300"/>
      </w:tblGrid>
      <w:tr w:rsidR="00561D5B" w:rsidRPr="004E33C1" w:rsidTr="005B500E">
        <w:trPr>
          <w:trHeight w:val="375"/>
          <w:jc w:val="center"/>
        </w:trPr>
        <w:tc>
          <w:tcPr>
            <w:tcW w:w="2240" w:type="dxa"/>
            <w:noWrap/>
            <w:hideMark/>
          </w:tcPr>
          <w:p w:rsidR="00561D5B" w:rsidRPr="004E33C1" w:rsidRDefault="00561D5B" w:rsidP="005B500E">
            <w:pPr>
              <w:jc w:val="center"/>
              <w:rPr>
                <w:rFonts w:ascii="仿宋_GB2312" w:eastAsia="仿宋_GB2312" w:hAnsi="楷体"/>
                <w:b/>
                <w:bCs/>
                <w:sz w:val="32"/>
                <w:szCs w:val="32"/>
              </w:rPr>
            </w:pPr>
            <w:r w:rsidRPr="004E33C1">
              <w:rPr>
                <w:rFonts w:ascii="仿宋_GB2312" w:eastAsia="仿宋_GB2312" w:hAnsi="楷体" w:hint="eastAsia"/>
                <w:b/>
                <w:bCs/>
                <w:sz w:val="32"/>
                <w:szCs w:val="32"/>
              </w:rPr>
              <w:t>行业细分</w:t>
            </w:r>
          </w:p>
        </w:tc>
        <w:tc>
          <w:tcPr>
            <w:tcW w:w="2440" w:type="dxa"/>
            <w:noWrap/>
            <w:hideMark/>
          </w:tcPr>
          <w:p w:rsidR="00561D5B" w:rsidRPr="004E33C1" w:rsidRDefault="00561D5B" w:rsidP="005B500E">
            <w:pPr>
              <w:jc w:val="center"/>
              <w:rPr>
                <w:rFonts w:ascii="仿宋_GB2312" w:eastAsia="仿宋_GB2312" w:hAnsi="楷体"/>
                <w:b/>
                <w:bCs/>
                <w:sz w:val="32"/>
                <w:szCs w:val="32"/>
              </w:rPr>
            </w:pPr>
            <w:r w:rsidRPr="004E33C1">
              <w:rPr>
                <w:rFonts w:ascii="仿宋_GB2312" w:eastAsia="仿宋_GB2312" w:hAnsi="楷体" w:hint="eastAsia"/>
                <w:b/>
                <w:bCs/>
                <w:sz w:val="32"/>
                <w:szCs w:val="32"/>
              </w:rPr>
              <w:t>2019年度</w:t>
            </w:r>
          </w:p>
        </w:tc>
        <w:tc>
          <w:tcPr>
            <w:tcW w:w="2300" w:type="dxa"/>
            <w:noWrap/>
            <w:hideMark/>
          </w:tcPr>
          <w:p w:rsidR="00561D5B" w:rsidRPr="004E33C1" w:rsidRDefault="00561D5B" w:rsidP="005B500E">
            <w:pPr>
              <w:jc w:val="center"/>
              <w:rPr>
                <w:rFonts w:ascii="仿宋_GB2312" w:eastAsia="仿宋_GB2312" w:hAnsi="楷体"/>
                <w:b/>
                <w:bCs/>
                <w:sz w:val="32"/>
                <w:szCs w:val="32"/>
              </w:rPr>
            </w:pPr>
            <w:r w:rsidRPr="004E33C1">
              <w:rPr>
                <w:rFonts w:ascii="仿宋_GB2312" w:eastAsia="仿宋_GB2312" w:hAnsi="楷体" w:hint="eastAsia"/>
                <w:b/>
                <w:bCs/>
                <w:sz w:val="32"/>
                <w:szCs w:val="32"/>
              </w:rPr>
              <w:t>所占比例</w:t>
            </w:r>
          </w:p>
        </w:tc>
      </w:tr>
      <w:tr w:rsidR="00561D5B" w:rsidRPr="00A4204B" w:rsidTr="005B500E">
        <w:trPr>
          <w:trHeight w:val="375"/>
          <w:jc w:val="center"/>
        </w:trPr>
        <w:tc>
          <w:tcPr>
            <w:tcW w:w="2240" w:type="dxa"/>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箱包</w:t>
            </w:r>
          </w:p>
        </w:tc>
        <w:tc>
          <w:tcPr>
            <w:tcW w:w="244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13.53</w:t>
            </w:r>
          </w:p>
        </w:tc>
        <w:tc>
          <w:tcPr>
            <w:tcW w:w="230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60.81%</w:t>
            </w:r>
          </w:p>
        </w:tc>
      </w:tr>
      <w:tr w:rsidR="00561D5B" w:rsidRPr="00A4204B" w:rsidTr="005B500E">
        <w:trPr>
          <w:trHeight w:val="375"/>
          <w:jc w:val="center"/>
        </w:trPr>
        <w:tc>
          <w:tcPr>
            <w:tcW w:w="2240" w:type="dxa"/>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制鞋</w:t>
            </w:r>
          </w:p>
        </w:tc>
        <w:tc>
          <w:tcPr>
            <w:tcW w:w="244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2.86</w:t>
            </w:r>
          </w:p>
        </w:tc>
        <w:tc>
          <w:tcPr>
            <w:tcW w:w="230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12.85%</w:t>
            </w:r>
          </w:p>
        </w:tc>
      </w:tr>
      <w:tr w:rsidR="00561D5B" w:rsidRPr="00A4204B" w:rsidTr="005B500E">
        <w:trPr>
          <w:trHeight w:val="375"/>
          <w:jc w:val="center"/>
        </w:trPr>
        <w:tc>
          <w:tcPr>
            <w:tcW w:w="2240" w:type="dxa"/>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皮革化工</w:t>
            </w:r>
          </w:p>
        </w:tc>
        <w:tc>
          <w:tcPr>
            <w:tcW w:w="244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1.65</w:t>
            </w:r>
          </w:p>
        </w:tc>
        <w:tc>
          <w:tcPr>
            <w:tcW w:w="230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7.42%</w:t>
            </w:r>
          </w:p>
        </w:tc>
      </w:tr>
      <w:tr w:rsidR="00561D5B" w:rsidRPr="00A4204B" w:rsidTr="005B500E">
        <w:trPr>
          <w:trHeight w:val="375"/>
          <w:jc w:val="center"/>
        </w:trPr>
        <w:tc>
          <w:tcPr>
            <w:tcW w:w="2240" w:type="dxa"/>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合成革</w:t>
            </w:r>
          </w:p>
        </w:tc>
        <w:tc>
          <w:tcPr>
            <w:tcW w:w="244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3</w:t>
            </w:r>
          </w:p>
        </w:tc>
        <w:tc>
          <w:tcPr>
            <w:tcW w:w="230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13.48%</w:t>
            </w:r>
          </w:p>
        </w:tc>
      </w:tr>
      <w:tr w:rsidR="00561D5B" w:rsidRPr="00A4204B" w:rsidTr="005B500E">
        <w:trPr>
          <w:trHeight w:val="375"/>
          <w:jc w:val="center"/>
        </w:trPr>
        <w:tc>
          <w:tcPr>
            <w:tcW w:w="2240" w:type="dxa"/>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其他产品</w:t>
            </w:r>
          </w:p>
        </w:tc>
        <w:tc>
          <w:tcPr>
            <w:tcW w:w="244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1.21</w:t>
            </w:r>
          </w:p>
        </w:tc>
        <w:tc>
          <w:tcPr>
            <w:tcW w:w="2300" w:type="dxa"/>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5.44%</w:t>
            </w:r>
          </w:p>
        </w:tc>
      </w:tr>
    </w:tbl>
    <w:p w:rsidR="00561D5B" w:rsidRDefault="00561D5B" w:rsidP="00561D5B">
      <w:pPr>
        <w:jc w:val="center"/>
        <w:rPr>
          <w:rFonts w:ascii="仿宋_GB2312" w:eastAsia="仿宋_GB2312" w:hAnsi="楷体"/>
          <w:sz w:val="32"/>
          <w:szCs w:val="32"/>
        </w:rPr>
      </w:pPr>
      <w:r>
        <w:rPr>
          <w:noProof/>
        </w:rPr>
        <w:drawing>
          <wp:inline distT="0" distB="0" distL="0" distR="0" wp14:anchorId="07362D6B" wp14:editId="447914D3">
            <wp:extent cx="5200650" cy="3228976"/>
            <wp:effectExtent l="0" t="0" r="19050" b="952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从各细分行业产值增长情况来看，箱包业</w:t>
      </w:r>
      <w:r>
        <w:rPr>
          <w:rFonts w:ascii="仿宋" w:eastAsia="仿宋" w:hAnsi="仿宋" w:hint="eastAsia"/>
          <w:sz w:val="32"/>
          <w:szCs w:val="32"/>
        </w:rPr>
        <w:t>2019年度</w:t>
      </w:r>
      <w:r>
        <w:rPr>
          <w:rFonts w:ascii="仿宋_GB2312" w:eastAsia="仿宋_GB2312" w:hAnsi="楷体" w:hint="eastAsia"/>
          <w:sz w:val="32"/>
          <w:szCs w:val="32"/>
        </w:rPr>
        <w:t>产值13.53亿元，同比增长4.72%；制鞋业产值2.86亿元，同比增长1.78%；皮革化工业产值1.65亿元，同比下降19.9%；合成革业产值3亿元，同比增长0.33%。</w:t>
      </w:r>
    </w:p>
    <w:p w:rsidR="00561D5B" w:rsidRDefault="00561D5B" w:rsidP="00561D5B">
      <w:pPr>
        <w:ind w:firstLineChars="200" w:firstLine="640"/>
        <w:rPr>
          <w:rFonts w:ascii="仿宋_GB2312" w:eastAsia="仿宋_GB2312" w:hAnsi="楷体"/>
          <w:sz w:val="32"/>
          <w:szCs w:val="32"/>
          <w:u w:val="single"/>
        </w:rPr>
      </w:pPr>
      <w:r>
        <w:rPr>
          <w:rFonts w:ascii="仿宋" w:eastAsia="仿宋" w:hAnsi="仿宋" w:hint="eastAsia"/>
          <w:sz w:val="32"/>
          <w:szCs w:val="32"/>
        </w:rPr>
        <w:t>2019年度</w:t>
      </w:r>
      <w:r>
        <w:rPr>
          <w:rFonts w:ascii="仿宋_GB2312" w:eastAsia="仿宋_GB2312" w:hAnsi="楷体" w:hint="eastAsia"/>
          <w:sz w:val="32"/>
          <w:szCs w:val="32"/>
        </w:rPr>
        <w:t>，除了皮革化工业，其他细分行业产值都保持了小幅增长。皮革化工企业近几年环保投入逐渐加大，对企</w:t>
      </w:r>
      <w:r>
        <w:rPr>
          <w:rFonts w:ascii="仿宋_GB2312" w:eastAsia="仿宋_GB2312" w:hAnsi="楷体" w:hint="eastAsia"/>
          <w:sz w:val="32"/>
          <w:szCs w:val="32"/>
        </w:rPr>
        <w:lastRenderedPageBreak/>
        <w:t>业投产造成一定影响。</w:t>
      </w:r>
    </w:p>
    <w:p w:rsidR="00561D5B" w:rsidRDefault="00561D5B" w:rsidP="00561D5B">
      <w:pPr>
        <w:widowControl/>
        <w:jc w:val="left"/>
        <w:rPr>
          <w:rFonts w:ascii="仿宋_GB2312" w:eastAsia="仿宋_GB2312" w:hAnsi="楷体"/>
          <w:b/>
          <w:sz w:val="32"/>
          <w:szCs w:val="32"/>
        </w:rPr>
      </w:pPr>
    </w:p>
    <w:p w:rsidR="00561D5B" w:rsidRDefault="00561D5B" w:rsidP="00561D5B">
      <w:pPr>
        <w:ind w:firstLineChars="200" w:firstLine="643"/>
        <w:jc w:val="center"/>
        <w:rPr>
          <w:rFonts w:ascii="仿宋_GB2312" w:eastAsia="仿宋_GB2312" w:hAnsi="楷体"/>
          <w:b/>
          <w:sz w:val="32"/>
          <w:szCs w:val="32"/>
        </w:rPr>
      </w:pPr>
      <w:r>
        <w:rPr>
          <w:rFonts w:ascii="仿宋_GB2312" w:eastAsia="仿宋_GB2312" w:hAnsi="楷体" w:hint="eastAsia"/>
          <w:b/>
          <w:sz w:val="32"/>
          <w:szCs w:val="32"/>
        </w:rPr>
        <w:t>细分行业产值增长情况</w:t>
      </w:r>
    </w:p>
    <w:tbl>
      <w:tblPr>
        <w:tblW w:w="8580" w:type="dxa"/>
        <w:jc w:val="center"/>
        <w:tblInd w:w="93" w:type="dxa"/>
        <w:tblLook w:val="04A0" w:firstRow="1" w:lastRow="0" w:firstColumn="1" w:lastColumn="0" w:noHBand="0" w:noVBand="1"/>
      </w:tblPr>
      <w:tblGrid>
        <w:gridCol w:w="2240"/>
        <w:gridCol w:w="2440"/>
        <w:gridCol w:w="2300"/>
        <w:gridCol w:w="1600"/>
      </w:tblGrid>
      <w:tr w:rsidR="00561D5B" w:rsidRPr="004E33C1" w:rsidTr="005B500E">
        <w:trPr>
          <w:trHeight w:val="375"/>
          <w:jc w:val="cent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1D5B" w:rsidRPr="004E33C1" w:rsidRDefault="00561D5B" w:rsidP="005B500E">
            <w:pPr>
              <w:widowControl/>
              <w:jc w:val="left"/>
              <w:rPr>
                <w:rFonts w:ascii="仿宋_GB2312" w:eastAsia="仿宋_GB2312" w:hAnsi="宋体" w:cs="宋体"/>
                <w:b/>
                <w:bCs/>
                <w:color w:val="000000"/>
                <w:kern w:val="0"/>
                <w:sz w:val="28"/>
                <w:szCs w:val="28"/>
              </w:rPr>
            </w:pPr>
            <w:r w:rsidRPr="004E33C1">
              <w:rPr>
                <w:rFonts w:ascii="仿宋_GB2312" w:eastAsia="仿宋_GB2312" w:hAnsi="宋体" w:cs="宋体" w:hint="eastAsia"/>
                <w:b/>
                <w:bCs/>
                <w:color w:val="000000"/>
                <w:kern w:val="0"/>
                <w:sz w:val="28"/>
                <w:szCs w:val="28"/>
              </w:rPr>
              <w:t>细分行业</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561D5B" w:rsidRPr="004E33C1" w:rsidRDefault="00561D5B" w:rsidP="005B500E">
            <w:pPr>
              <w:widowControl/>
              <w:jc w:val="center"/>
              <w:rPr>
                <w:rFonts w:ascii="仿宋_GB2312" w:eastAsia="仿宋_GB2312" w:hAnsi="宋体" w:cs="宋体"/>
                <w:b/>
                <w:bCs/>
                <w:color w:val="000000"/>
                <w:kern w:val="0"/>
                <w:sz w:val="28"/>
                <w:szCs w:val="28"/>
              </w:rPr>
            </w:pPr>
            <w:r w:rsidRPr="004E33C1">
              <w:rPr>
                <w:rFonts w:ascii="仿宋_GB2312" w:eastAsia="仿宋_GB2312" w:hAnsi="宋体" w:cs="宋体" w:hint="eastAsia"/>
                <w:b/>
                <w:bCs/>
                <w:color w:val="000000"/>
                <w:kern w:val="0"/>
                <w:sz w:val="28"/>
                <w:szCs w:val="28"/>
              </w:rPr>
              <w:t>2019年度</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561D5B" w:rsidRPr="004E33C1" w:rsidRDefault="00561D5B" w:rsidP="005B500E">
            <w:pPr>
              <w:widowControl/>
              <w:jc w:val="center"/>
              <w:rPr>
                <w:rFonts w:ascii="仿宋_GB2312" w:eastAsia="仿宋_GB2312" w:hAnsi="宋体" w:cs="宋体"/>
                <w:b/>
                <w:bCs/>
                <w:color w:val="000000"/>
                <w:kern w:val="0"/>
                <w:sz w:val="28"/>
                <w:szCs w:val="28"/>
              </w:rPr>
            </w:pPr>
            <w:r w:rsidRPr="004E33C1">
              <w:rPr>
                <w:rFonts w:ascii="仿宋_GB2312" w:eastAsia="仿宋_GB2312" w:hAnsi="宋体" w:cs="宋体" w:hint="eastAsia"/>
                <w:b/>
                <w:bCs/>
                <w:color w:val="000000"/>
                <w:kern w:val="0"/>
                <w:sz w:val="28"/>
                <w:szCs w:val="28"/>
              </w:rPr>
              <w:t>2018年度</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61D5B" w:rsidRPr="004E33C1" w:rsidRDefault="00561D5B" w:rsidP="005B500E">
            <w:pPr>
              <w:widowControl/>
              <w:jc w:val="left"/>
              <w:rPr>
                <w:rFonts w:ascii="仿宋_GB2312" w:eastAsia="仿宋_GB2312" w:hAnsi="宋体" w:cs="宋体"/>
                <w:b/>
                <w:bCs/>
                <w:color w:val="000000"/>
                <w:kern w:val="0"/>
                <w:sz w:val="28"/>
                <w:szCs w:val="28"/>
              </w:rPr>
            </w:pPr>
            <w:r w:rsidRPr="004E33C1">
              <w:rPr>
                <w:rFonts w:ascii="仿宋_GB2312" w:eastAsia="仿宋_GB2312" w:hAnsi="宋体" w:cs="宋体" w:hint="eastAsia"/>
                <w:b/>
                <w:bCs/>
                <w:color w:val="000000"/>
                <w:kern w:val="0"/>
                <w:sz w:val="28"/>
                <w:szCs w:val="28"/>
              </w:rPr>
              <w:t>增长比例</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箱包</w:t>
            </w:r>
          </w:p>
        </w:tc>
        <w:tc>
          <w:tcPr>
            <w:tcW w:w="244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13.53</w:t>
            </w:r>
          </w:p>
        </w:tc>
        <w:tc>
          <w:tcPr>
            <w:tcW w:w="23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12.92</w:t>
            </w:r>
          </w:p>
        </w:tc>
        <w:tc>
          <w:tcPr>
            <w:tcW w:w="16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4.72%</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制鞋</w:t>
            </w:r>
          </w:p>
        </w:tc>
        <w:tc>
          <w:tcPr>
            <w:tcW w:w="244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2.86</w:t>
            </w:r>
          </w:p>
        </w:tc>
        <w:tc>
          <w:tcPr>
            <w:tcW w:w="23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2.81</w:t>
            </w:r>
          </w:p>
        </w:tc>
        <w:tc>
          <w:tcPr>
            <w:tcW w:w="16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1.78%</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皮革化工</w:t>
            </w:r>
          </w:p>
        </w:tc>
        <w:tc>
          <w:tcPr>
            <w:tcW w:w="244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1.65</w:t>
            </w:r>
          </w:p>
        </w:tc>
        <w:tc>
          <w:tcPr>
            <w:tcW w:w="23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2.06</w:t>
            </w:r>
          </w:p>
        </w:tc>
        <w:tc>
          <w:tcPr>
            <w:tcW w:w="16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-19.90%</w:t>
            </w:r>
          </w:p>
        </w:tc>
      </w:tr>
      <w:tr w:rsidR="00561D5B" w:rsidRPr="00A4204B"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noWrap/>
            <w:hideMark/>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合成革</w:t>
            </w:r>
          </w:p>
        </w:tc>
        <w:tc>
          <w:tcPr>
            <w:tcW w:w="244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3</w:t>
            </w:r>
          </w:p>
        </w:tc>
        <w:tc>
          <w:tcPr>
            <w:tcW w:w="23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2.99</w:t>
            </w:r>
          </w:p>
        </w:tc>
        <w:tc>
          <w:tcPr>
            <w:tcW w:w="1600" w:type="dxa"/>
            <w:tcBorders>
              <w:top w:val="nil"/>
              <w:left w:val="nil"/>
              <w:bottom w:val="single" w:sz="4" w:space="0" w:color="auto"/>
              <w:right w:val="single" w:sz="4" w:space="0" w:color="auto"/>
            </w:tcBorders>
            <w:shd w:val="clear" w:color="auto" w:fill="auto"/>
            <w:noWrap/>
          </w:tcPr>
          <w:p w:rsidR="00561D5B" w:rsidRPr="00A4204B" w:rsidRDefault="00561D5B" w:rsidP="005B500E">
            <w:pPr>
              <w:rPr>
                <w:rFonts w:ascii="仿宋_GB2312" w:eastAsia="仿宋_GB2312" w:hAnsi="楷体"/>
                <w:sz w:val="32"/>
                <w:szCs w:val="32"/>
              </w:rPr>
            </w:pPr>
            <w:r w:rsidRPr="00A4204B">
              <w:rPr>
                <w:rFonts w:ascii="仿宋_GB2312" w:eastAsia="仿宋_GB2312" w:hAnsi="楷体" w:hint="eastAsia"/>
                <w:sz w:val="32"/>
                <w:szCs w:val="32"/>
              </w:rPr>
              <w:t>0.33%</w:t>
            </w:r>
          </w:p>
        </w:tc>
      </w:tr>
    </w:tbl>
    <w:p w:rsidR="00561D5B" w:rsidRDefault="00561D5B" w:rsidP="00561D5B">
      <w:pPr>
        <w:jc w:val="center"/>
        <w:rPr>
          <w:rFonts w:ascii="仿宋_GB2312" w:eastAsia="仿宋_GB2312" w:hAnsi="楷体"/>
          <w:b/>
          <w:sz w:val="32"/>
          <w:szCs w:val="32"/>
        </w:rPr>
      </w:pPr>
      <w:r>
        <w:rPr>
          <w:noProof/>
        </w:rPr>
        <w:drawing>
          <wp:inline distT="0" distB="0" distL="0" distR="0" wp14:anchorId="7420A9E8" wp14:editId="24231F85">
            <wp:extent cx="5219700" cy="3133725"/>
            <wp:effectExtent l="0" t="0" r="19050" b="952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1D5B" w:rsidRDefault="00561D5B" w:rsidP="00561D5B">
      <w:pPr>
        <w:jc w:val="center"/>
        <w:rPr>
          <w:rFonts w:ascii="仿宋_GB2312" w:eastAsia="仿宋_GB2312" w:hAnsi="楷体"/>
          <w:sz w:val="32"/>
          <w:szCs w:val="32"/>
        </w:rPr>
      </w:pPr>
    </w:p>
    <w:p w:rsidR="00561D5B" w:rsidRDefault="00561D5B" w:rsidP="00561D5B">
      <w:pPr>
        <w:ind w:firstLineChars="200" w:firstLine="640"/>
        <w:rPr>
          <w:rFonts w:ascii="黑体" w:eastAsia="黑体" w:hAnsi="黑体"/>
          <w:sz w:val="32"/>
          <w:szCs w:val="32"/>
        </w:rPr>
      </w:pPr>
      <w:r>
        <w:rPr>
          <w:rFonts w:ascii="黑体" w:eastAsia="黑体" w:hAnsi="黑体" w:hint="eastAsia"/>
          <w:sz w:val="32"/>
          <w:szCs w:val="32"/>
        </w:rPr>
        <w:t>二、上阶段重点推进工作</w:t>
      </w:r>
    </w:p>
    <w:p w:rsidR="00561D5B" w:rsidRDefault="00561D5B" w:rsidP="00561D5B">
      <w:pPr>
        <w:ind w:firstLineChars="200" w:firstLine="640"/>
        <w:rPr>
          <w:rFonts w:ascii="仿宋_GB2312" w:eastAsia="仿宋_GB2312" w:hAnsi="楷体"/>
          <w:sz w:val="32"/>
          <w:szCs w:val="32"/>
        </w:rPr>
      </w:pPr>
      <w:r>
        <w:rPr>
          <w:rFonts w:ascii="楷体" w:eastAsia="楷体" w:hAnsi="楷体" w:hint="eastAsia"/>
          <w:sz w:val="32"/>
          <w:szCs w:val="32"/>
        </w:rPr>
        <w:t>（一）提升行业</w:t>
      </w:r>
      <w:r>
        <w:rPr>
          <w:rFonts w:ascii="楷体" w:eastAsia="楷体" w:hAnsi="楷体"/>
          <w:sz w:val="32"/>
          <w:szCs w:val="32"/>
        </w:rPr>
        <w:t>整体水平</w:t>
      </w:r>
      <w:r>
        <w:rPr>
          <w:rFonts w:ascii="楷体" w:eastAsia="楷体" w:hAnsi="楷体" w:hint="eastAsia"/>
          <w:sz w:val="32"/>
          <w:szCs w:val="32"/>
        </w:rPr>
        <w:t>。</w:t>
      </w:r>
      <w:r>
        <w:rPr>
          <w:rFonts w:ascii="仿宋_GB2312" w:eastAsia="仿宋_GB2312" w:hAnsi="楷体" w:hint="eastAsia"/>
          <w:sz w:val="32"/>
          <w:szCs w:val="32"/>
        </w:rPr>
        <w:t>协会举办了一场时尚箱包设计技能竞赛，组织了40多位选手参赛。通过竞赛带动“学技术、增本领”的行业良好氛围，提升设计水平。</w:t>
      </w:r>
    </w:p>
    <w:p w:rsidR="00561D5B" w:rsidRDefault="00561D5B" w:rsidP="00561D5B">
      <w:pPr>
        <w:ind w:firstLineChars="200" w:firstLine="640"/>
        <w:rPr>
          <w:rFonts w:ascii="仿宋_GB2312" w:eastAsia="仿宋_GB2312"/>
          <w:sz w:val="30"/>
          <w:szCs w:val="30"/>
        </w:rPr>
      </w:pPr>
      <w:r>
        <w:rPr>
          <w:rFonts w:ascii="仿宋_GB2312" w:eastAsia="仿宋_GB2312" w:hAnsi="楷体" w:hint="eastAsia"/>
          <w:sz w:val="32"/>
          <w:szCs w:val="32"/>
        </w:rPr>
        <w:t>协会还</w:t>
      </w:r>
      <w:r>
        <w:rPr>
          <w:rFonts w:ascii="仿宋_GB2312" w:eastAsia="仿宋_GB2312" w:hint="eastAsia"/>
          <w:sz w:val="30"/>
          <w:szCs w:val="30"/>
        </w:rPr>
        <w:t>举办“企业税务风险防范与降费减税政策讲座”、箱</w:t>
      </w:r>
      <w:r>
        <w:rPr>
          <w:rFonts w:ascii="仿宋_GB2312" w:eastAsia="仿宋_GB2312" w:hint="eastAsia"/>
          <w:sz w:val="30"/>
          <w:szCs w:val="30"/>
        </w:rPr>
        <w:lastRenderedPageBreak/>
        <w:t>包标准工时系统培训。与市工业设计联合会等多家单位联合举办“百家设计机构走进千家制造企业系列对接会”，组织企业参加战略管理、团队增长等方面的培训讲座，进一步提升行业在财税、管理、设计及信息化提升等方面的水平。</w:t>
      </w:r>
    </w:p>
    <w:p w:rsidR="00561D5B" w:rsidRDefault="00561D5B" w:rsidP="00561D5B">
      <w:pPr>
        <w:ind w:firstLineChars="200" w:firstLine="640"/>
        <w:rPr>
          <w:rFonts w:ascii="仿宋_GB2312" w:eastAsia="仿宋_GB2312"/>
          <w:sz w:val="30"/>
          <w:szCs w:val="30"/>
        </w:rPr>
      </w:pPr>
      <w:r>
        <w:rPr>
          <w:rFonts w:ascii="楷体" w:eastAsia="楷体" w:hAnsi="楷体" w:hint="eastAsia"/>
          <w:sz w:val="32"/>
          <w:szCs w:val="32"/>
        </w:rPr>
        <w:t>（三）推进行业标准化工作。</w:t>
      </w:r>
      <w:r>
        <w:rPr>
          <w:rFonts w:ascii="仿宋_GB2312" w:eastAsia="仿宋_GB2312" w:hint="eastAsia"/>
          <w:sz w:val="30"/>
          <w:szCs w:val="30"/>
        </w:rPr>
        <w:t>协会主持制定的《儿童包（袋）》团体标准已经开始在企业中实施。协会秘书长及标准实施小组成员对所有实施企业进行走访，了解企业内部标准宣</w:t>
      </w:r>
      <w:proofErr w:type="gramStart"/>
      <w:r>
        <w:rPr>
          <w:rFonts w:ascii="仿宋_GB2312" w:eastAsia="仿宋_GB2312" w:hint="eastAsia"/>
          <w:sz w:val="30"/>
          <w:szCs w:val="30"/>
        </w:rPr>
        <w:t>贯执行</w:t>
      </w:r>
      <w:proofErr w:type="gramEnd"/>
      <w:r>
        <w:rPr>
          <w:rFonts w:ascii="仿宋_GB2312" w:eastAsia="仿宋_GB2312" w:hint="eastAsia"/>
          <w:sz w:val="30"/>
          <w:szCs w:val="30"/>
        </w:rPr>
        <w:t>情况，并就相关问题进行了指导，经过近半年的实施，各实施企业取得了阶段性的进展和提升。</w:t>
      </w:r>
    </w:p>
    <w:p w:rsidR="00561D5B" w:rsidRDefault="00561D5B" w:rsidP="00561D5B">
      <w:pPr>
        <w:widowControl/>
        <w:ind w:firstLineChars="200" w:firstLine="640"/>
        <w:jc w:val="left"/>
        <w:rPr>
          <w:rFonts w:ascii="仿宋_GB2312" w:eastAsia="仿宋_GB2312"/>
          <w:sz w:val="30"/>
          <w:szCs w:val="30"/>
        </w:rPr>
      </w:pPr>
      <w:r>
        <w:rPr>
          <w:rFonts w:ascii="楷体" w:eastAsia="楷体" w:hAnsi="楷体" w:hint="eastAsia"/>
          <w:sz w:val="32"/>
          <w:szCs w:val="32"/>
        </w:rPr>
        <w:t>（四）帮助企业拓展市场。</w:t>
      </w:r>
      <w:r>
        <w:rPr>
          <w:rFonts w:ascii="仿宋_GB2312" w:eastAsia="仿宋_GB2312" w:hint="eastAsia"/>
          <w:sz w:val="30"/>
          <w:szCs w:val="30"/>
        </w:rPr>
        <w:t>协会组织企业参加了中国（宁波）外贸商品展销会、广交会、华交会、浙江国际智能缝制设备展览会、国皮革展、波时尚节等国内展会，同时还多次组团观展，让更多企业充分了解市场，把握行业发展情况。此外，协会还组织企业赴俄罗斯考察莫斯科国际箱包及配件展，进一步了解俄罗斯市场发展情况及商业环境等，助力企业开拓俄罗斯市场。</w:t>
      </w:r>
    </w:p>
    <w:p w:rsidR="00561D5B" w:rsidRDefault="00561D5B" w:rsidP="00561D5B">
      <w:pPr>
        <w:widowControl/>
        <w:ind w:firstLineChars="200" w:firstLine="640"/>
        <w:jc w:val="left"/>
        <w:rPr>
          <w:rFonts w:ascii="仿宋_GB2312" w:eastAsia="仿宋_GB2312"/>
          <w:sz w:val="30"/>
          <w:szCs w:val="30"/>
        </w:rPr>
      </w:pPr>
      <w:r w:rsidRPr="00A817C0">
        <w:rPr>
          <w:rFonts w:ascii="楷体" w:eastAsia="楷体" w:hAnsi="楷体" w:hint="eastAsia"/>
          <w:sz w:val="32"/>
          <w:szCs w:val="32"/>
        </w:rPr>
        <w:t>（五）</w:t>
      </w:r>
      <w:r>
        <w:rPr>
          <w:rFonts w:ascii="楷体" w:eastAsia="楷体" w:hAnsi="楷体" w:hint="eastAsia"/>
          <w:sz w:val="32"/>
          <w:szCs w:val="32"/>
        </w:rPr>
        <w:t>促进产业链互通</w:t>
      </w:r>
      <w:r w:rsidRPr="00A817C0">
        <w:rPr>
          <w:rFonts w:ascii="楷体" w:eastAsia="楷体" w:hAnsi="楷体" w:hint="eastAsia"/>
          <w:sz w:val="32"/>
          <w:szCs w:val="32"/>
        </w:rPr>
        <w:t>。</w:t>
      </w:r>
      <w:r w:rsidRPr="000B140B">
        <w:rPr>
          <w:rFonts w:ascii="仿宋_GB2312" w:eastAsia="仿宋_GB2312" w:hint="eastAsia"/>
          <w:sz w:val="30"/>
          <w:szCs w:val="30"/>
        </w:rPr>
        <w:t>为了打通皮革行业产业链，</w:t>
      </w:r>
      <w:r>
        <w:rPr>
          <w:rFonts w:ascii="仿宋_GB2312" w:eastAsia="仿宋_GB2312" w:hint="eastAsia"/>
          <w:sz w:val="30"/>
          <w:szCs w:val="30"/>
        </w:rPr>
        <w:t>协会组织企业前往台州考察设备生产企业，帮助企业了解行业先进设备的市场发展。协会组织企业前往嘉兴及江苏考察原辅材料生产企业，为企业把</w:t>
      </w:r>
      <w:proofErr w:type="gramStart"/>
      <w:r>
        <w:rPr>
          <w:rFonts w:ascii="仿宋_GB2312" w:eastAsia="仿宋_GB2312" w:hint="eastAsia"/>
          <w:sz w:val="30"/>
          <w:szCs w:val="30"/>
        </w:rPr>
        <w:t>控材料</w:t>
      </w:r>
      <w:proofErr w:type="gramEnd"/>
      <w:r>
        <w:rPr>
          <w:rFonts w:ascii="仿宋_GB2312" w:eastAsia="仿宋_GB2312" w:hint="eastAsia"/>
          <w:sz w:val="30"/>
          <w:szCs w:val="30"/>
        </w:rPr>
        <w:t>采购质量，降低采购成本做好服务工作。</w:t>
      </w:r>
    </w:p>
    <w:p w:rsidR="00561D5B" w:rsidRDefault="00561D5B" w:rsidP="00561D5B">
      <w:pPr>
        <w:widowControl/>
        <w:ind w:firstLineChars="200" w:firstLine="640"/>
        <w:jc w:val="left"/>
        <w:rPr>
          <w:rFonts w:ascii="仿宋_GB2312" w:eastAsia="仿宋_GB2312"/>
          <w:sz w:val="30"/>
          <w:szCs w:val="30"/>
        </w:rPr>
      </w:pPr>
      <w:r>
        <w:rPr>
          <w:rFonts w:ascii="楷体" w:eastAsia="楷体" w:hAnsi="楷体" w:hint="eastAsia"/>
          <w:sz w:val="32"/>
          <w:szCs w:val="32"/>
        </w:rPr>
        <w:t>（六）助力社会公益事业发展。</w:t>
      </w:r>
      <w:r>
        <w:rPr>
          <w:rFonts w:ascii="仿宋_GB2312" w:eastAsia="仿宋_GB2312" w:hint="eastAsia"/>
          <w:sz w:val="30"/>
          <w:szCs w:val="30"/>
        </w:rPr>
        <w:t>协会积极相应扶贫号召，组织多家企业为贵州黔西南州和吉林延边地区捐赠了衣物、鞋包、</w:t>
      </w:r>
      <w:r>
        <w:rPr>
          <w:rFonts w:ascii="仿宋_GB2312" w:eastAsia="仿宋_GB2312" w:hint="eastAsia"/>
          <w:sz w:val="30"/>
          <w:szCs w:val="30"/>
        </w:rPr>
        <w:lastRenderedPageBreak/>
        <w:t>球类等物品。配合市慈善总会，参加宁波</w:t>
      </w:r>
      <w:r w:rsidRPr="000B140B">
        <w:rPr>
          <w:rFonts w:ascii="仿宋_GB2312" w:eastAsia="仿宋_GB2312" w:hint="eastAsia"/>
          <w:sz w:val="30"/>
          <w:szCs w:val="30"/>
        </w:rPr>
        <w:t>市首届“爱在一起”大型公益活动</w:t>
      </w:r>
      <w:r>
        <w:rPr>
          <w:rFonts w:ascii="仿宋_GB2312" w:eastAsia="仿宋_GB2312" w:hint="eastAsia"/>
          <w:sz w:val="30"/>
          <w:szCs w:val="30"/>
        </w:rPr>
        <w:t>，进行物品义卖。</w:t>
      </w:r>
    </w:p>
    <w:p w:rsidR="00561D5B" w:rsidRDefault="00561D5B" w:rsidP="00561D5B">
      <w:pPr>
        <w:ind w:firstLineChars="200" w:firstLine="640"/>
        <w:rPr>
          <w:rFonts w:ascii="黑体" w:eastAsia="黑体" w:hAnsi="黑体"/>
          <w:sz w:val="32"/>
          <w:szCs w:val="32"/>
        </w:rPr>
      </w:pPr>
      <w:r w:rsidRPr="00C44148">
        <w:rPr>
          <w:rFonts w:ascii="黑体" w:eastAsia="黑体" w:hAnsi="黑体" w:hint="eastAsia"/>
          <w:sz w:val="32"/>
          <w:szCs w:val="32"/>
        </w:rPr>
        <w:t>三、行业发展存在的主要问题</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sz w:val="32"/>
          <w:szCs w:val="32"/>
        </w:rPr>
        <w:t>当前</w:t>
      </w:r>
      <w:r w:rsidRPr="00A74E68">
        <w:rPr>
          <w:rFonts w:ascii="仿宋_GB2312" w:eastAsia="仿宋_GB2312" w:hAnsi="楷体"/>
          <w:sz w:val="32"/>
          <w:szCs w:val="32"/>
        </w:rPr>
        <w:t>宁波市皮革行业</w:t>
      </w:r>
      <w:r>
        <w:rPr>
          <w:rFonts w:ascii="仿宋_GB2312" w:eastAsia="仿宋_GB2312" w:hAnsi="楷体"/>
          <w:sz w:val="32"/>
          <w:szCs w:val="32"/>
        </w:rPr>
        <w:t>发展主要存在着以下几方面问题</w:t>
      </w:r>
      <w:r>
        <w:rPr>
          <w:rFonts w:ascii="仿宋_GB2312" w:eastAsia="仿宋_GB2312" w:hAnsi="楷体" w:hint="eastAsia"/>
          <w:sz w:val="32"/>
          <w:szCs w:val="32"/>
        </w:rPr>
        <w:t>：</w:t>
      </w:r>
    </w:p>
    <w:p w:rsidR="00561D5B" w:rsidRPr="00B51EAE" w:rsidRDefault="00561D5B" w:rsidP="00561D5B">
      <w:pPr>
        <w:ind w:firstLineChars="200" w:firstLine="640"/>
        <w:rPr>
          <w:rFonts w:ascii="楷体" w:eastAsia="楷体" w:hAnsi="楷体"/>
          <w:sz w:val="32"/>
          <w:szCs w:val="32"/>
        </w:rPr>
      </w:pPr>
      <w:r w:rsidRPr="00B51EAE">
        <w:rPr>
          <w:rFonts w:ascii="楷体" w:eastAsia="楷体" w:hAnsi="楷体" w:hint="eastAsia"/>
          <w:sz w:val="32"/>
          <w:szCs w:val="32"/>
        </w:rPr>
        <w:t>一是产品缺乏议价能力</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sz w:val="32"/>
          <w:szCs w:val="32"/>
        </w:rPr>
        <w:t>宁波皮革行业主要以背提包及鞋类产品为主</w:t>
      </w:r>
      <w:r>
        <w:rPr>
          <w:rFonts w:ascii="仿宋_GB2312" w:eastAsia="仿宋_GB2312" w:hAnsi="楷体" w:hint="eastAsia"/>
          <w:sz w:val="32"/>
          <w:szCs w:val="32"/>
        </w:rPr>
        <w:t>，</w:t>
      </w:r>
      <w:r>
        <w:rPr>
          <w:rFonts w:ascii="仿宋_GB2312" w:eastAsia="仿宋_GB2312" w:hAnsi="楷体"/>
          <w:sz w:val="32"/>
          <w:szCs w:val="32"/>
        </w:rPr>
        <w:t>产品与广东福建等地相比没有较为突出的特色</w:t>
      </w:r>
      <w:r>
        <w:rPr>
          <w:rFonts w:ascii="仿宋_GB2312" w:eastAsia="仿宋_GB2312" w:hAnsi="楷体" w:hint="eastAsia"/>
          <w:sz w:val="32"/>
          <w:szCs w:val="32"/>
        </w:rPr>
        <w:t>，企业</w:t>
      </w:r>
      <w:r>
        <w:rPr>
          <w:rFonts w:ascii="仿宋_GB2312" w:eastAsia="仿宋_GB2312" w:hAnsi="楷体"/>
          <w:sz w:val="32"/>
          <w:szCs w:val="32"/>
        </w:rPr>
        <w:t>多以订单加工为主</w:t>
      </w:r>
      <w:r>
        <w:rPr>
          <w:rFonts w:ascii="仿宋_GB2312" w:eastAsia="仿宋_GB2312" w:hAnsi="楷体" w:hint="eastAsia"/>
          <w:sz w:val="32"/>
          <w:szCs w:val="32"/>
        </w:rPr>
        <w:t>，产品同质化程度较高，无法</w:t>
      </w:r>
      <w:proofErr w:type="gramStart"/>
      <w:r>
        <w:rPr>
          <w:rFonts w:ascii="仿宋_GB2312" w:eastAsia="仿宋_GB2312" w:hAnsi="楷体" w:hint="eastAsia"/>
          <w:sz w:val="32"/>
          <w:szCs w:val="32"/>
        </w:rPr>
        <w:t>掌控</w:t>
      </w:r>
      <w:r>
        <w:rPr>
          <w:rFonts w:ascii="仿宋_GB2312" w:eastAsia="仿宋_GB2312" w:hAnsi="楷体"/>
          <w:sz w:val="32"/>
          <w:szCs w:val="32"/>
        </w:rPr>
        <w:t>握议价</w:t>
      </w:r>
      <w:proofErr w:type="gramEnd"/>
      <w:r>
        <w:rPr>
          <w:rFonts w:ascii="仿宋_GB2312" w:eastAsia="仿宋_GB2312" w:hAnsi="楷体"/>
          <w:sz w:val="32"/>
          <w:szCs w:val="32"/>
        </w:rPr>
        <w:t>权</w:t>
      </w:r>
      <w:r>
        <w:rPr>
          <w:rFonts w:ascii="仿宋_GB2312" w:eastAsia="仿宋_GB2312" w:hAnsi="楷体" w:hint="eastAsia"/>
          <w:sz w:val="32"/>
          <w:szCs w:val="32"/>
        </w:rPr>
        <w:t>，</w:t>
      </w:r>
      <w:r>
        <w:rPr>
          <w:rFonts w:ascii="仿宋_GB2312" w:eastAsia="仿宋_GB2312" w:hAnsi="楷体"/>
          <w:sz w:val="32"/>
          <w:szCs w:val="32"/>
        </w:rPr>
        <w:t>不利于行业发展</w:t>
      </w:r>
      <w:r>
        <w:rPr>
          <w:rFonts w:ascii="仿宋_GB2312" w:eastAsia="仿宋_GB2312" w:hAnsi="楷体" w:hint="eastAsia"/>
          <w:sz w:val="32"/>
          <w:szCs w:val="32"/>
        </w:rPr>
        <w:t>。</w:t>
      </w:r>
    </w:p>
    <w:p w:rsidR="00561D5B" w:rsidRPr="00B51EAE" w:rsidRDefault="00561D5B" w:rsidP="00561D5B">
      <w:pPr>
        <w:ind w:firstLineChars="200" w:firstLine="640"/>
        <w:rPr>
          <w:rFonts w:ascii="楷体" w:eastAsia="楷体" w:hAnsi="楷体"/>
          <w:sz w:val="32"/>
          <w:szCs w:val="32"/>
        </w:rPr>
      </w:pPr>
      <w:r w:rsidRPr="00B51EAE">
        <w:rPr>
          <w:rFonts w:ascii="楷体" w:eastAsia="楷体" w:hAnsi="楷体" w:hint="eastAsia"/>
          <w:sz w:val="32"/>
          <w:szCs w:val="32"/>
        </w:rPr>
        <w:t>二是外贸受东南亚低价竞争影响</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sz w:val="32"/>
          <w:szCs w:val="32"/>
        </w:rPr>
        <w:t>东南亚市场的低价竞争对宁波皮革行业造成了一定的影响</w:t>
      </w:r>
      <w:r>
        <w:rPr>
          <w:rFonts w:ascii="仿宋_GB2312" w:eastAsia="仿宋_GB2312" w:hAnsi="楷体" w:hint="eastAsia"/>
          <w:sz w:val="32"/>
          <w:szCs w:val="32"/>
        </w:rPr>
        <w:t>，</w:t>
      </w:r>
      <w:r>
        <w:rPr>
          <w:rFonts w:ascii="仿宋_GB2312" w:eastAsia="仿宋_GB2312" w:hAnsi="楷体"/>
          <w:sz w:val="32"/>
          <w:szCs w:val="32"/>
        </w:rPr>
        <w:t>特别是对于技术含量不高的产品来说</w:t>
      </w:r>
      <w:r>
        <w:rPr>
          <w:rFonts w:ascii="仿宋_GB2312" w:eastAsia="仿宋_GB2312" w:hAnsi="楷体" w:hint="eastAsia"/>
          <w:sz w:val="32"/>
          <w:szCs w:val="32"/>
        </w:rPr>
        <w:t>，大部分订单都转移到了东南亚国家。但根据调研，对于有较高技术要求的产品来说，宁波企业还是占有一定优势。但这种竞争也一定程度上损害了企业的利润。</w:t>
      </w:r>
    </w:p>
    <w:p w:rsidR="00561D5B" w:rsidRPr="00B51EAE" w:rsidRDefault="00561D5B" w:rsidP="00561D5B">
      <w:pPr>
        <w:ind w:firstLineChars="200" w:firstLine="640"/>
        <w:rPr>
          <w:rFonts w:ascii="楷体" w:eastAsia="楷体" w:hAnsi="楷体"/>
          <w:sz w:val="32"/>
          <w:szCs w:val="32"/>
        </w:rPr>
      </w:pPr>
      <w:r w:rsidRPr="00B51EAE">
        <w:rPr>
          <w:rFonts w:ascii="楷体" w:eastAsia="楷体" w:hAnsi="楷体" w:hint="eastAsia"/>
          <w:sz w:val="32"/>
          <w:szCs w:val="32"/>
        </w:rPr>
        <w:t>三是品牌发展及产品设计亟需提升</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宁波地理位置的优越性使得皮革行业中多数以外贸订单出口为主，长期则阻碍了企业在设计研发以及品牌方面的发展，这造成有些企业在转向国内市场以及发展自主品牌时需要花更多的精力在设计人才的培养和自身产品的定位上，影响了企业的长远发展。</w:t>
      </w:r>
    </w:p>
    <w:p w:rsidR="00561D5B" w:rsidRPr="00B51EAE" w:rsidRDefault="00561D5B" w:rsidP="00561D5B">
      <w:pPr>
        <w:ind w:firstLineChars="200" w:firstLine="640"/>
        <w:rPr>
          <w:rFonts w:ascii="楷体" w:eastAsia="楷体" w:hAnsi="楷体"/>
          <w:sz w:val="32"/>
          <w:szCs w:val="32"/>
        </w:rPr>
      </w:pPr>
      <w:r w:rsidRPr="00B51EAE">
        <w:rPr>
          <w:rFonts w:ascii="楷体" w:eastAsia="楷体" w:hAnsi="楷体" w:hint="eastAsia"/>
          <w:sz w:val="32"/>
          <w:szCs w:val="32"/>
        </w:rPr>
        <w:t>四是新冠疫情对行业的冲击</w:t>
      </w:r>
    </w:p>
    <w:p w:rsidR="00561D5B" w:rsidRPr="00A74E68"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lastRenderedPageBreak/>
        <w:t>因各地交通管制，企业复工所需原材料不能到位，企业不能按时出货，有违约风险。现在还不能预测明确的社会经济秩序恢复时间，从年前开始积压的订单有些成了库存，有些采购了原料但不知何时能出货，做不做都是难题。而且停工期间工人的工资还要照发，这对企业的现金流是极大的考验。</w:t>
      </w:r>
    </w:p>
    <w:p w:rsidR="00561D5B" w:rsidRDefault="00561D5B" w:rsidP="00561D5B">
      <w:pPr>
        <w:ind w:firstLineChars="200" w:firstLine="640"/>
        <w:rPr>
          <w:rFonts w:ascii="黑体" w:eastAsia="黑体" w:hAnsi="黑体"/>
          <w:sz w:val="32"/>
          <w:szCs w:val="32"/>
        </w:rPr>
      </w:pPr>
      <w:r w:rsidRPr="00691782">
        <w:rPr>
          <w:rFonts w:ascii="黑体" w:eastAsia="黑体" w:hAnsi="黑体" w:hint="eastAsia"/>
          <w:sz w:val="32"/>
          <w:szCs w:val="32"/>
        </w:rPr>
        <w:t>四、行业发展方向建议</w:t>
      </w:r>
    </w:p>
    <w:p w:rsidR="00561D5B"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根据当前经济发展形势、政策导向以及我市皮革箱包行业发展特点，宁波市皮革行业协会对行业发展提出以下建议：</w:t>
      </w:r>
    </w:p>
    <w:p w:rsidR="00561D5B" w:rsidRDefault="00561D5B" w:rsidP="00561D5B">
      <w:pPr>
        <w:ind w:firstLineChars="200" w:firstLine="640"/>
        <w:rPr>
          <w:rFonts w:ascii="楷体" w:eastAsia="楷体" w:hAnsi="楷体"/>
          <w:sz w:val="32"/>
          <w:szCs w:val="32"/>
        </w:rPr>
      </w:pPr>
      <w:r>
        <w:rPr>
          <w:rFonts w:ascii="楷体" w:eastAsia="楷体" w:hAnsi="楷体" w:hint="eastAsia"/>
          <w:sz w:val="32"/>
          <w:szCs w:val="32"/>
        </w:rPr>
        <w:t>（一）抱团发展，共渡难关</w:t>
      </w:r>
    </w:p>
    <w:p w:rsidR="00561D5B" w:rsidRPr="0061029A" w:rsidRDefault="00561D5B" w:rsidP="00561D5B">
      <w:pPr>
        <w:ind w:firstLineChars="200" w:firstLine="640"/>
        <w:rPr>
          <w:rFonts w:ascii="仿宋_GB2312" w:eastAsia="仿宋_GB2312" w:hAnsi="楷体"/>
          <w:sz w:val="32"/>
          <w:szCs w:val="32"/>
        </w:rPr>
      </w:pPr>
      <w:r w:rsidRPr="0061029A">
        <w:rPr>
          <w:rFonts w:ascii="仿宋_GB2312" w:eastAsia="仿宋_GB2312" w:hAnsi="楷体" w:hint="eastAsia"/>
          <w:sz w:val="32"/>
          <w:szCs w:val="32"/>
        </w:rPr>
        <w:t>因疫情影响，中小企业的日子愈发难过。作为行业协会，从年初开始就积极为企业调剂订单，发布各类材料供应商信息，为企业采购开工防疫物资，帮助企业寻求订单延期法律风险防范的解决途径。通过行业协会，让中小企业抱团取暖，度过这次重大疫情的影响，将损失降到最低。</w:t>
      </w:r>
    </w:p>
    <w:p w:rsidR="00561D5B" w:rsidRDefault="00561D5B" w:rsidP="00561D5B">
      <w:pPr>
        <w:ind w:firstLineChars="200" w:firstLine="640"/>
        <w:rPr>
          <w:rFonts w:ascii="楷体" w:eastAsia="楷体" w:hAnsi="楷体"/>
          <w:sz w:val="32"/>
          <w:szCs w:val="32"/>
        </w:rPr>
      </w:pPr>
      <w:r>
        <w:rPr>
          <w:rFonts w:ascii="楷体" w:eastAsia="楷体" w:hAnsi="楷体" w:hint="eastAsia"/>
          <w:sz w:val="32"/>
          <w:szCs w:val="32"/>
        </w:rPr>
        <w:t>（二）重视知识产权</w:t>
      </w:r>
    </w:p>
    <w:p w:rsidR="00561D5B" w:rsidRPr="0061029A" w:rsidRDefault="00561D5B" w:rsidP="00561D5B">
      <w:pPr>
        <w:ind w:firstLineChars="200" w:firstLine="640"/>
        <w:rPr>
          <w:rFonts w:ascii="仿宋_GB2312" w:eastAsia="仿宋_GB2312" w:hAnsi="楷体"/>
          <w:sz w:val="32"/>
          <w:szCs w:val="32"/>
        </w:rPr>
      </w:pPr>
      <w:r w:rsidRPr="0061029A">
        <w:rPr>
          <w:rFonts w:ascii="仿宋_GB2312" w:eastAsia="仿宋_GB2312" w:hAnsi="楷体" w:hint="eastAsia"/>
          <w:sz w:val="32"/>
          <w:szCs w:val="32"/>
        </w:rPr>
        <w:t>宁波皮革企业在发展自主品牌时要注重产品在专利和商标权方面的保护，一方面是避免相关侵权行为，另一方面是保护自己公司的知识产权。</w:t>
      </w:r>
      <w:r>
        <w:rPr>
          <w:rFonts w:ascii="仿宋_GB2312" w:eastAsia="仿宋_GB2312" w:hAnsi="楷体" w:hint="eastAsia"/>
          <w:sz w:val="32"/>
          <w:szCs w:val="32"/>
        </w:rPr>
        <w:t>企业要在</w:t>
      </w:r>
      <w:r w:rsidRPr="0061029A">
        <w:rPr>
          <w:rFonts w:ascii="仿宋_GB2312" w:eastAsia="仿宋_GB2312" w:hAnsi="楷体" w:hint="eastAsia"/>
          <w:sz w:val="32"/>
          <w:szCs w:val="32"/>
        </w:rPr>
        <w:t>品牌注册、专利申请等方面</w:t>
      </w:r>
      <w:r>
        <w:rPr>
          <w:rFonts w:ascii="仿宋_GB2312" w:eastAsia="仿宋_GB2312" w:hAnsi="楷体" w:hint="eastAsia"/>
          <w:sz w:val="32"/>
          <w:szCs w:val="32"/>
        </w:rPr>
        <w:t>提前布局，保障自身的知识产权成果。</w:t>
      </w:r>
    </w:p>
    <w:p w:rsidR="00561D5B" w:rsidRDefault="00561D5B" w:rsidP="00561D5B">
      <w:pPr>
        <w:ind w:firstLineChars="200" w:firstLine="640"/>
        <w:rPr>
          <w:rFonts w:ascii="楷体" w:eastAsia="楷体" w:hAnsi="楷体"/>
          <w:sz w:val="32"/>
          <w:szCs w:val="32"/>
        </w:rPr>
      </w:pPr>
      <w:r>
        <w:rPr>
          <w:rFonts w:ascii="楷体" w:eastAsia="楷体" w:hAnsi="楷体" w:hint="eastAsia"/>
          <w:sz w:val="32"/>
          <w:szCs w:val="32"/>
        </w:rPr>
        <w:t>（三）借助时尚产业发展</w:t>
      </w:r>
    </w:p>
    <w:p w:rsidR="00561D5B" w:rsidRPr="0061029A" w:rsidRDefault="00561D5B" w:rsidP="00561D5B">
      <w:pPr>
        <w:ind w:firstLineChars="200" w:firstLine="640"/>
        <w:rPr>
          <w:rFonts w:ascii="仿宋_GB2312" w:eastAsia="仿宋_GB2312" w:hAnsi="楷体"/>
          <w:sz w:val="32"/>
          <w:szCs w:val="32"/>
        </w:rPr>
      </w:pPr>
      <w:r w:rsidRPr="0061029A">
        <w:rPr>
          <w:rFonts w:ascii="仿宋_GB2312" w:eastAsia="仿宋_GB2312" w:hAnsi="楷体"/>
          <w:sz w:val="32"/>
          <w:szCs w:val="32"/>
        </w:rPr>
        <w:t>宁波皮革行业主要以外贸为主</w:t>
      </w:r>
      <w:r w:rsidRPr="0061029A">
        <w:rPr>
          <w:rFonts w:ascii="仿宋_GB2312" w:eastAsia="仿宋_GB2312" w:hAnsi="楷体" w:hint="eastAsia"/>
          <w:sz w:val="32"/>
          <w:szCs w:val="32"/>
        </w:rPr>
        <w:t>，</w:t>
      </w:r>
      <w:r w:rsidRPr="0061029A">
        <w:rPr>
          <w:rFonts w:ascii="仿宋_GB2312" w:eastAsia="仿宋_GB2312" w:hAnsi="楷体"/>
          <w:sz w:val="32"/>
          <w:szCs w:val="32"/>
        </w:rPr>
        <w:t>产品主要销往欧美日韩</w:t>
      </w:r>
      <w:r w:rsidRPr="0061029A">
        <w:rPr>
          <w:rFonts w:ascii="仿宋_GB2312" w:eastAsia="仿宋_GB2312" w:hAnsi="楷体"/>
          <w:sz w:val="32"/>
          <w:szCs w:val="32"/>
        </w:rPr>
        <w:lastRenderedPageBreak/>
        <w:t>等发达国家</w:t>
      </w:r>
      <w:r w:rsidRPr="0061029A">
        <w:rPr>
          <w:rFonts w:ascii="仿宋_GB2312" w:eastAsia="仿宋_GB2312" w:hAnsi="楷体" w:hint="eastAsia"/>
          <w:sz w:val="32"/>
          <w:szCs w:val="32"/>
        </w:rPr>
        <w:t>，</w:t>
      </w:r>
      <w:r w:rsidRPr="0061029A">
        <w:rPr>
          <w:rFonts w:ascii="仿宋_GB2312" w:eastAsia="仿宋_GB2312" w:hAnsi="楷体"/>
          <w:sz w:val="32"/>
          <w:szCs w:val="32"/>
        </w:rPr>
        <w:t>对产品的高要求也造就了宁波皮革行业生产工艺和技术水平的先进性</w:t>
      </w:r>
      <w:r w:rsidRPr="0061029A">
        <w:rPr>
          <w:rFonts w:ascii="仿宋_GB2312" w:eastAsia="仿宋_GB2312" w:hAnsi="楷体" w:hint="eastAsia"/>
          <w:sz w:val="32"/>
          <w:szCs w:val="32"/>
        </w:rPr>
        <w:t>，</w:t>
      </w:r>
      <w:r w:rsidRPr="0061029A">
        <w:rPr>
          <w:rFonts w:ascii="仿宋_GB2312" w:eastAsia="仿宋_GB2312" w:hAnsi="楷体"/>
          <w:sz w:val="32"/>
          <w:szCs w:val="32"/>
        </w:rPr>
        <w:t>也为自主品牌的发展提供了技术保障</w:t>
      </w:r>
      <w:r w:rsidRPr="0061029A">
        <w:rPr>
          <w:rFonts w:ascii="仿宋_GB2312" w:eastAsia="仿宋_GB2312" w:hAnsi="楷体" w:hint="eastAsia"/>
          <w:sz w:val="32"/>
          <w:szCs w:val="32"/>
        </w:rPr>
        <w:t>。</w:t>
      </w:r>
      <w:r>
        <w:rPr>
          <w:rFonts w:ascii="仿宋_GB2312" w:eastAsia="仿宋_GB2312" w:hAnsi="楷体" w:hint="eastAsia"/>
          <w:sz w:val="32"/>
          <w:szCs w:val="32"/>
        </w:rPr>
        <w:t>在我市大力发展时尚产业的背景下，企业凭借自身优势，依托相关政策利好，顺应发展势头，紧跟时尚发展潮流，提升产品的时尚感，吸引更多消费者的眼球。</w:t>
      </w:r>
    </w:p>
    <w:p w:rsidR="00561D5B" w:rsidRDefault="00561D5B" w:rsidP="00561D5B">
      <w:pPr>
        <w:ind w:firstLineChars="200" w:firstLine="640"/>
        <w:rPr>
          <w:rFonts w:ascii="楷体" w:eastAsia="楷体" w:hAnsi="楷体"/>
          <w:sz w:val="32"/>
          <w:szCs w:val="32"/>
        </w:rPr>
      </w:pPr>
      <w:r>
        <w:rPr>
          <w:rFonts w:ascii="楷体" w:eastAsia="楷体" w:hAnsi="楷体" w:hint="eastAsia"/>
          <w:sz w:val="32"/>
          <w:szCs w:val="32"/>
        </w:rPr>
        <w:t>（四）时刻关注疫情变化，做好出口</w:t>
      </w:r>
      <w:proofErr w:type="gramStart"/>
      <w:r>
        <w:rPr>
          <w:rFonts w:ascii="楷体" w:eastAsia="楷体" w:hAnsi="楷体" w:hint="eastAsia"/>
          <w:sz w:val="32"/>
          <w:szCs w:val="32"/>
        </w:rPr>
        <w:t>研</w:t>
      </w:r>
      <w:proofErr w:type="gramEnd"/>
      <w:r>
        <w:rPr>
          <w:rFonts w:ascii="楷体" w:eastAsia="楷体" w:hAnsi="楷体" w:hint="eastAsia"/>
          <w:sz w:val="32"/>
          <w:szCs w:val="32"/>
        </w:rPr>
        <w:t>判</w:t>
      </w:r>
    </w:p>
    <w:p w:rsidR="00561D5B" w:rsidRPr="0061029A" w:rsidRDefault="00561D5B" w:rsidP="00561D5B">
      <w:pPr>
        <w:ind w:firstLineChars="200" w:firstLine="640"/>
        <w:rPr>
          <w:rFonts w:ascii="仿宋_GB2312" w:eastAsia="仿宋_GB2312" w:hAnsi="楷体"/>
          <w:sz w:val="32"/>
          <w:szCs w:val="32"/>
        </w:rPr>
      </w:pPr>
      <w:r>
        <w:rPr>
          <w:rFonts w:ascii="仿宋_GB2312" w:eastAsia="仿宋_GB2312" w:hAnsi="楷体" w:hint="eastAsia"/>
          <w:sz w:val="32"/>
          <w:szCs w:val="32"/>
        </w:rPr>
        <w:t>当前新冠疫情主要是在中国国内，但也要重视产品出口国家的疫情情况，多与客户沟通相关情况，谨慎接单。同时，企业要准备好</w:t>
      </w:r>
      <w:r w:rsidRPr="0061029A">
        <w:rPr>
          <w:rFonts w:ascii="仿宋_GB2312" w:eastAsia="仿宋_GB2312" w:hAnsi="楷体" w:hint="eastAsia"/>
          <w:sz w:val="32"/>
          <w:szCs w:val="32"/>
        </w:rPr>
        <w:t>多渠道</w:t>
      </w:r>
      <w:r>
        <w:rPr>
          <w:rFonts w:ascii="仿宋_GB2312" w:eastAsia="仿宋_GB2312" w:hAnsi="楷体" w:hint="eastAsia"/>
          <w:sz w:val="32"/>
          <w:szCs w:val="32"/>
        </w:rPr>
        <w:t>开拓</w:t>
      </w:r>
      <w:r w:rsidRPr="0061029A">
        <w:rPr>
          <w:rFonts w:ascii="仿宋_GB2312" w:eastAsia="仿宋_GB2312" w:hAnsi="楷体" w:hint="eastAsia"/>
          <w:sz w:val="32"/>
          <w:szCs w:val="32"/>
        </w:rPr>
        <w:t>，</w:t>
      </w:r>
      <w:r>
        <w:rPr>
          <w:rFonts w:ascii="仿宋_GB2312" w:eastAsia="仿宋_GB2312" w:hAnsi="楷体" w:hint="eastAsia"/>
          <w:sz w:val="32"/>
          <w:szCs w:val="32"/>
        </w:rPr>
        <w:t>做到内外贸并举，线上线下其发展，对于这次疫情的诸多不确定性，尽量做足准备。</w:t>
      </w:r>
    </w:p>
    <w:p w:rsidR="00561D5B" w:rsidRDefault="00561D5B" w:rsidP="00561D5B">
      <w:pPr>
        <w:ind w:firstLineChars="200" w:firstLine="640"/>
        <w:rPr>
          <w:rFonts w:ascii="楷体" w:eastAsia="楷体" w:hAnsi="楷体"/>
          <w:sz w:val="32"/>
          <w:szCs w:val="32"/>
        </w:rPr>
      </w:pPr>
      <w:r>
        <w:rPr>
          <w:rFonts w:ascii="楷体" w:eastAsia="楷体" w:hAnsi="楷体" w:hint="eastAsia"/>
          <w:sz w:val="32"/>
          <w:szCs w:val="32"/>
        </w:rPr>
        <w:t>（五）争取更多的财税支持政策</w:t>
      </w:r>
    </w:p>
    <w:p w:rsidR="00561D5B" w:rsidRPr="00CB5D7D" w:rsidRDefault="00561D5B" w:rsidP="00561D5B">
      <w:pPr>
        <w:ind w:firstLineChars="200" w:firstLine="640"/>
        <w:rPr>
          <w:rFonts w:ascii="仿宋" w:eastAsia="仿宋" w:hAnsi="仿宋"/>
          <w:sz w:val="32"/>
          <w:szCs w:val="32"/>
        </w:rPr>
      </w:pPr>
      <w:r w:rsidRPr="00CB5D7D">
        <w:rPr>
          <w:rFonts w:ascii="仿宋" w:eastAsia="仿宋" w:hAnsi="仿宋" w:hint="eastAsia"/>
          <w:sz w:val="32"/>
          <w:szCs w:val="32"/>
        </w:rPr>
        <w:t>中小微企业，特别是皮革行业中箱包、制鞋等</w:t>
      </w:r>
      <w:r>
        <w:rPr>
          <w:rFonts w:ascii="仿宋" w:eastAsia="仿宋" w:hAnsi="仿宋" w:hint="eastAsia"/>
          <w:sz w:val="32"/>
          <w:szCs w:val="32"/>
        </w:rPr>
        <w:t>劳动密集型企业</w:t>
      </w:r>
      <w:r w:rsidRPr="00CB5D7D">
        <w:rPr>
          <w:rFonts w:ascii="仿宋" w:eastAsia="仿宋" w:hAnsi="仿宋" w:hint="eastAsia"/>
          <w:sz w:val="32"/>
          <w:szCs w:val="32"/>
        </w:rPr>
        <w:t>是吸纳就业的主力军，在当前疫情发展情况下，做好中小</w:t>
      </w:r>
      <w:proofErr w:type="gramStart"/>
      <w:r w:rsidRPr="00CB5D7D">
        <w:rPr>
          <w:rFonts w:ascii="仿宋" w:eastAsia="仿宋" w:hAnsi="仿宋" w:hint="eastAsia"/>
          <w:sz w:val="32"/>
          <w:szCs w:val="32"/>
        </w:rPr>
        <w:t>微企业</w:t>
      </w:r>
      <w:proofErr w:type="gramEnd"/>
      <w:r>
        <w:rPr>
          <w:rFonts w:ascii="仿宋" w:eastAsia="仿宋" w:hAnsi="仿宋" w:hint="eastAsia"/>
          <w:sz w:val="32"/>
          <w:szCs w:val="32"/>
        </w:rPr>
        <w:t>的扶持工作，</w:t>
      </w:r>
      <w:r w:rsidRPr="00CB5D7D">
        <w:rPr>
          <w:rFonts w:ascii="仿宋" w:eastAsia="仿宋" w:hAnsi="仿宋" w:hint="eastAsia"/>
          <w:sz w:val="32"/>
          <w:szCs w:val="32"/>
        </w:rPr>
        <w:t>对社会稳定，经济</w:t>
      </w:r>
      <w:r>
        <w:rPr>
          <w:rFonts w:ascii="仿宋" w:eastAsia="仿宋" w:hAnsi="仿宋" w:hint="eastAsia"/>
          <w:sz w:val="32"/>
          <w:szCs w:val="32"/>
        </w:rPr>
        <w:t>恢复</w:t>
      </w:r>
      <w:r w:rsidRPr="00CB5D7D">
        <w:rPr>
          <w:rFonts w:ascii="仿宋" w:eastAsia="仿宋" w:hAnsi="仿宋" w:hint="eastAsia"/>
          <w:sz w:val="32"/>
          <w:szCs w:val="32"/>
        </w:rPr>
        <w:t>有着重要作用。</w:t>
      </w:r>
      <w:r>
        <w:rPr>
          <w:rFonts w:ascii="仿宋" w:eastAsia="仿宋" w:hAnsi="仿宋" w:hint="eastAsia"/>
          <w:sz w:val="32"/>
          <w:szCs w:val="32"/>
        </w:rPr>
        <w:t>有必要通过相关政策一方面是减轻中小</w:t>
      </w:r>
      <w:proofErr w:type="gramStart"/>
      <w:r>
        <w:rPr>
          <w:rFonts w:ascii="仿宋" w:eastAsia="仿宋" w:hAnsi="仿宋" w:hint="eastAsia"/>
          <w:sz w:val="32"/>
          <w:szCs w:val="32"/>
        </w:rPr>
        <w:t>微企业</w:t>
      </w:r>
      <w:proofErr w:type="gramEnd"/>
      <w:r>
        <w:rPr>
          <w:rFonts w:ascii="仿宋" w:eastAsia="仿宋" w:hAnsi="仿宋" w:hint="eastAsia"/>
          <w:sz w:val="32"/>
          <w:szCs w:val="32"/>
        </w:rPr>
        <w:t>各类税费缴纳的压力，另一方面是降低中小</w:t>
      </w:r>
      <w:proofErr w:type="gramStart"/>
      <w:r>
        <w:rPr>
          <w:rFonts w:ascii="仿宋" w:eastAsia="仿宋" w:hAnsi="仿宋" w:hint="eastAsia"/>
          <w:sz w:val="32"/>
          <w:szCs w:val="32"/>
        </w:rPr>
        <w:t>微企业</w:t>
      </w:r>
      <w:proofErr w:type="gramEnd"/>
      <w:r>
        <w:rPr>
          <w:rFonts w:ascii="仿宋" w:eastAsia="仿宋" w:hAnsi="仿宋" w:hint="eastAsia"/>
          <w:sz w:val="32"/>
          <w:szCs w:val="32"/>
        </w:rPr>
        <w:t>的融资门槛和融资成本，让更多的中小</w:t>
      </w:r>
      <w:proofErr w:type="gramStart"/>
      <w:r>
        <w:rPr>
          <w:rFonts w:ascii="仿宋" w:eastAsia="仿宋" w:hAnsi="仿宋" w:hint="eastAsia"/>
          <w:sz w:val="32"/>
          <w:szCs w:val="32"/>
        </w:rPr>
        <w:t>微企业</w:t>
      </w:r>
      <w:proofErr w:type="gramEnd"/>
      <w:r>
        <w:rPr>
          <w:rFonts w:ascii="仿宋" w:eastAsia="仿宋" w:hAnsi="仿宋" w:hint="eastAsia"/>
          <w:sz w:val="32"/>
          <w:szCs w:val="32"/>
        </w:rPr>
        <w:t>得以生存。</w:t>
      </w:r>
    </w:p>
    <w:p w:rsidR="00561D5B" w:rsidRDefault="00561D5B" w:rsidP="00561D5B">
      <w:pPr>
        <w:ind w:firstLineChars="200" w:firstLine="640"/>
        <w:rPr>
          <w:rFonts w:ascii="黑体" w:eastAsia="黑体" w:hAnsi="黑体"/>
          <w:sz w:val="32"/>
          <w:szCs w:val="32"/>
        </w:rPr>
      </w:pPr>
      <w:r w:rsidRPr="005A7014">
        <w:rPr>
          <w:rFonts w:ascii="黑体" w:eastAsia="黑体" w:hAnsi="黑体" w:hint="eastAsia"/>
          <w:sz w:val="32"/>
          <w:szCs w:val="32"/>
        </w:rPr>
        <w:t>五、2020年重点推进工作</w:t>
      </w:r>
    </w:p>
    <w:p w:rsidR="00561D5B" w:rsidRDefault="00561D5B" w:rsidP="00561D5B">
      <w:pPr>
        <w:ind w:firstLineChars="200" w:firstLine="640"/>
        <w:rPr>
          <w:rFonts w:ascii="仿宋" w:eastAsia="仿宋" w:hAnsi="仿宋"/>
          <w:sz w:val="32"/>
          <w:szCs w:val="32"/>
        </w:rPr>
      </w:pPr>
      <w:r>
        <w:rPr>
          <w:rFonts w:ascii="仿宋" w:eastAsia="仿宋" w:hAnsi="仿宋" w:hint="eastAsia"/>
          <w:sz w:val="32"/>
          <w:szCs w:val="32"/>
        </w:rPr>
        <w:t>2020年，宁波市皮革行业协会将根据行业发展特点及整体经济的变化趋势，开展以下几方面的重点工作。</w:t>
      </w:r>
    </w:p>
    <w:p w:rsidR="00561D5B" w:rsidRDefault="00561D5B" w:rsidP="00561D5B">
      <w:pPr>
        <w:ind w:firstLineChars="200" w:firstLine="640"/>
        <w:rPr>
          <w:rFonts w:ascii="仿宋" w:eastAsia="仿宋" w:hAnsi="仿宋"/>
          <w:sz w:val="32"/>
          <w:szCs w:val="32"/>
        </w:rPr>
      </w:pPr>
      <w:r>
        <w:rPr>
          <w:rFonts w:ascii="楷体" w:eastAsia="楷体" w:hAnsi="楷体" w:hint="eastAsia"/>
          <w:sz w:val="32"/>
          <w:szCs w:val="32"/>
        </w:rPr>
        <w:t>（一）推进行业标准化建设。</w:t>
      </w:r>
      <w:r>
        <w:rPr>
          <w:rFonts w:ascii="仿宋" w:eastAsia="仿宋" w:hAnsi="仿宋" w:hint="eastAsia"/>
          <w:sz w:val="32"/>
          <w:szCs w:val="32"/>
        </w:rPr>
        <w:t>协会开展的“制定和推广《儿童包（袋）》团体标准”项目将迎来验收，协会将重点</w:t>
      </w:r>
      <w:r>
        <w:rPr>
          <w:rFonts w:ascii="仿宋" w:eastAsia="仿宋" w:hAnsi="仿宋" w:hint="eastAsia"/>
          <w:sz w:val="32"/>
          <w:szCs w:val="32"/>
        </w:rPr>
        <w:lastRenderedPageBreak/>
        <w:t>做好实施企业的监督、意见反馈及实施成果收集工作。另外协会将继续开展其他产品团体标准的制定，让更多的企业参与到标准制定和实施工作中，推进行业标准化的发展。</w:t>
      </w:r>
    </w:p>
    <w:p w:rsidR="00561D5B" w:rsidRDefault="00561D5B" w:rsidP="00561D5B">
      <w:pPr>
        <w:ind w:firstLineChars="200" w:firstLine="640"/>
        <w:rPr>
          <w:rFonts w:ascii="仿宋" w:eastAsia="仿宋" w:hAnsi="仿宋"/>
          <w:sz w:val="32"/>
          <w:szCs w:val="32"/>
        </w:rPr>
      </w:pPr>
      <w:r>
        <w:rPr>
          <w:rFonts w:ascii="楷体" w:eastAsia="楷体" w:hAnsi="楷体" w:hint="eastAsia"/>
          <w:sz w:val="32"/>
          <w:szCs w:val="32"/>
        </w:rPr>
        <w:t>（二）开展行业提升服务。</w:t>
      </w:r>
      <w:r w:rsidRPr="009C5009">
        <w:rPr>
          <w:rFonts w:ascii="仿宋" w:eastAsia="仿宋" w:hAnsi="仿宋" w:hint="eastAsia"/>
          <w:sz w:val="32"/>
          <w:szCs w:val="32"/>
        </w:rPr>
        <w:t>协会将</w:t>
      </w:r>
      <w:r>
        <w:rPr>
          <w:rFonts w:ascii="仿宋" w:eastAsia="仿宋" w:hAnsi="仿宋" w:hint="eastAsia"/>
          <w:sz w:val="32"/>
          <w:szCs w:val="32"/>
        </w:rPr>
        <w:t>针对企业需求及行业短板，组织相应的培训提升项目。同时充分发挥协会专家委员会的作用，开展专家进企业活动，为企业在管理、财税、研发、自动化改造、人员培养等多方面开展服务。</w:t>
      </w:r>
    </w:p>
    <w:p w:rsidR="00561D5B" w:rsidRDefault="00561D5B" w:rsidP="00561D5B">
      <w:pPr>
        <w:ind w:firstLineChars="200" w:firstLine="640"/>
        <w:rPr>
          <w:rFonts w:ascii="仿宋" w:eastAsia="仿宋" w:hAnsi="仿宋"/>
          <w:sz w:val="32"/>
          <w:szCs w:val="32"/>
        </w:rPr>
      </w:pPr>
      <w:r>
        <w:rPr>
          <w:rFonts w:ascii="楷体" w:eastAsia="楷体" w:hAnsi="楷体" w:hint="eastAsia"/>
          <w:sz w:val="32"/>
          <w:szCs w:val="32"/>
        </w:rPr>
        <w:t>（三）打通行业供应链配套。</w:t>
      </w:r>
      <w:r>
        <w:rPr>
          <w:rFonts w:ascii="仿宋" w:eastAsia="仿宋" w:hAnsi="仿宋" w:hint="eastAsia"/>
          <w:sz w:val="32"/>
          <w:szCs w:val="32"/>
        </w:rPr>
        <w:t>行业的发展离不开上下游产业链的合作，协会将继续寻找优质供应商，完善皮革行业原辅材料供应商目录，并组织上下游企业进行考察对接活动。推进产业链的交流互通。</w:t>
      </w:r>
    </w:p>
    <w:p w:rsidR="00561D5B" w:rsidRDefault="00561D5B" w:rsidP="00561D5B">
      <w:pPr>
        <w:ind w:firstLineChars="200" w:firstLine="640"/>
        <w:rPr>
          <w:rFonts w:ascii="楷体" w:eastAsia="楷体" w:hAnsi="楷体"/>
          <w:sz w:val="32"/>
          <w:szCs w:val="32"/>
        </w:rPr>
      </w:pPr>
      <w:r>
        <w:rPr>
          <w:rFonts w:ascii="仿宋" w:eastAsia="仿宋" w:hAnsi="仿宋" w:hint="eastAsia"/>
          <w:sz w:val="32"/>
          <w:szCs w:val="32"/>
        </w:rPr>
        <w:t>（四）做好展会的组织工作。通过发布2020年皮革行业国内外展会目录，让企业提前做好展会准备，做好广交会、华交会、宁波时尚展等展会的参展动员工作，组织企业参观展中国国际皮革展、上海箱包皮具展、缝制设备展等展会。帮助企业了解市场行情，开拓发展道路。</w:t>
      </w:r>
    </w:p>
    <w:p w:rsidR="007C6332" w:rsidRDefault="007C3FFF">
      <w:bookmarkStart w:id="0" w:name="_GoBack"/>
      <w:bookmarkEnd w:id="0"/>
    </w:p>
    <w:sectPr w:rsidR="007C6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FF" w:rsidRDefault="007C3FFF" w:rsidP="00561D5B">
      <w:r>
        <w:separator/>
      </w:r>
    </w:p>
  </w:endnote>
  <w:endnote w:type="continuationSeparator" w:id="0">
    <w:p w:rsidR="007C3FFF" w:rsidRDefault="007C3FFF" w:rsidP="0056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FF" w:rsidRDefault="007C3FFF" w:rsidP="00561D5B">
      <w:r>
        <w:separator/>
      </w:r>
    </w:p>
  </w:footnote>
  <w:footnote w:type="continuationSeparator" w:id="0">
    <w:p w:rsidR="007C3FFF" w:rsidRDefault="007C3FFF" w:rsidP="0056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D"/>
    <w:rsid w:val="000D2533"/>
    <w:rsid w:val="00561D5B"/>
    <w:rsid w:val="007C3FFF"/>
    <w:rsid w:val="00E330DD"/>
    <w:rsid w:val="00F9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D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D5B"/>
    <w:rPr>
      <w:sz w:val="18"/>
      <w:szCs w:val="18"/>
    </w:rPr>
  </w:style>
  <w:style w:type="paragraph" w:styleId="a4">
    <w:name w:val="footer"/>
    <w:basedOn w:val="a"/>
    <w:link w:val="Char0"/>
    <w:uiPriority w:val="99"/>
    <w:unhideWhenUsed/>
    <w:rsid w:val="00561D5B"/>
    <w:pPr>
      <w:tabs>
        <w:tab w:val="center" w:pos="4153"/>
        <w:tab w:val="right" w:pos="8306"/>
      </w:tabs>
      <w:snapToGrid w:val="0"/>
      <w:jc w:val="left"/>
    </w:pPr>
    <w:rPr>
      <w:sz w:val="18"/>
      <w:szCs w:val="18"/>
    </w:rPr>
  </w:style>
  <w:style w:type="character" w:customStyle="1" w:styleId="Char0">
    <w:name w:val="页脚 Char"/>
    <w:basedOn w:val="a0"/>
    <w:link w:val="a4"/>
    <w:uiPriority w:val="99"/>
    <w:rsid w:val="00561D5B"/>
    <w:rPr>
      <w:sz w:val="18"/>
      <w:szCs w:val="18"/>
    </w:rPr>
  </w:style>
  <w:style w:type="table" w:styleId="a5">
    <w:name w:val="Table Grid"/>
    <w:basedOn w:val="a1"/>
    <w:uiPriority w:val="59"/>
    <w:rsid w:val="00561D5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D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D5B"/>
    <w:rPr>
      <w:sz w:val="18"/>
      <w:szCs w:val="18"/>
    </w:rPr>
  </w:style>
  <w:style w:type="paragraph" w:styleId="a4">
    <w:name w:val="footer"/>
    <w:basedOn w:val="a"/>
    <w:link w:val="Char0"/>
    <w:uiPriority w:val="99"/>
    <w:unhideWhenUsed/>
    <w:rsid w:val="00561D5B"/>
    <w:pPr>
      <w:tabs>
        <w:tab w:val="center" w:pos="4153"/>
        <w:tab w:val="right" w:pos="8306"/>
      </w:tabs>
      <w:snapToGrid w:val="0"/>
      <w:jc w:val="left"/>
    </w:pPr>
    <w:rPr>
      <w:sz w:val="18"/>
      <w:szCs w:val="18"/>
    </w:rPr>
  </w:style>
  <w:style w:type="character" w:customStyle="1" w:styleId="Char0">
    <w:name w:val="页脚 Char"/>
    <w:basedOn w:val="a0"/>
    <w:link w:val="a4"/>
    <w:uiPriority w:val="99"/>
    <w:rsid w:val="00561D5B"/>
    <w:rPr>
      <w:sz w:val="18"/>
      <w:szCs w:val="18"/>
    </w:rPr>
  </w:style>
  <w:style w:type="table" w:styleId="a5">
    <w:name w:val="Table Grid"/>
    <w:basedOn w:val="a1"/>
    <w:uiPriority w:val="59"/>
    <w:rsid w:val="00561D5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21333;&#20301;&#25991;&#20214;\&#34892;&#19994;&#32479;&#35745;\2019&#20840;&#24180;&#24230;\2019&#24180;&#24230;&#25968;&#25454;&#20998;&#265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21333;&#20301;&#25991;&#20214;\&#34892;&#19994;&#32479;&#35745;\2019&#20840;&#24180;&#24230;\2019&#24180;&#24230;&#25968;&#25454;&#20998;&#265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21333;&#20301;&#25991;&#20214;\&#34892;&#19994;&#32479;&#35745;\2019&#20840;&#24180;&#24230;\2019&#24180;&#24230;&#25968;&#25454;&#20998;&#265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4037;&#20316;\&#21333;&#20301;&#25991;&#20214;\&#34892;&#19994;&#32479;&#35745;\2019&#20840;&#24180;&#24230;\2019&#24180;&#24230;&#25968;&#25454;&#20998;&#265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21333;&#20301;&#25991;&#20214;\&#34892;&#19994;&#32479;&#35745;\2019&#20840;&#24180;&#24230;\2019&#24180;&#24230;&#25968;&#25454;&#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vertOverflow="ellipsis" anchor="ctr" anchorCtr="1"/>
          <a:lstStyle/>
          <a:p>
            <a:pPr algn="ctr">
              <a:defRPr sz="1800" b="1">
                <a:solidFill>
                  <a:schemeClr val="tx1"/>
                </a:solidFill>
                <a:latin typeface="+mn-lt"/>
                <a:ea typeface="+mn-ea"/>
                <a:cs typeface="+mn-cs"/>
              </a:defRPr>
            </a:pPr>
            <a:r>
              <a:rPr lang="zh-CN" altLang="en-US" sz="1400"/>
              <a:t>主要经济指标图</a:t>
            </a:r>
          </a:p>
        </c:rich>
      </c:tx>
      <c:overlay val="0"/>
      <c:spPr>
        <a:noFill/>
        <a:ln>
          <a:noFill/>
        </a:ln>
        <a:effectLst/>
      </c:spPr>
    </c:title>
    <c:autoTitleDeleted val="0"/>
    <c:plotArea>
      <c:layout>
        <c:manualLayout>
          <c:layoutTarget val="inner"/>
          <c:xMode val="edge"/>
          <c:yMode val="edge"/>
          <c:x val="0.16805304190449699"/>
          <c:y val="0.13577263779527601"/>
          <c:w val="0.80766037178747696"/>
          <c:h val="0.616577810586177"/>
        </c:manualLayout>
      </c:layout>
      <c:barChart>
        <c:barDir val="col"/>
        <c:grouping val="clustered"/>
        <c:varyColors val="0"/>
        <c:ser>
          <c:idx val="0"/>
          <c:order val="0"/>
          <c:tx>
            <c:strRef>
              <c:f>Sheet1!$B$1</c:f>
              <c:strCache>
                <c:ptCount val="1"/>
                <c:pt idx="0">
                  <c:v>2019年度</c:v>
                </c:pt>
              </c:strCache>
            </c:strRef>
          </c:tx>
          <c:spPr>
            <a:solidFill>
              <a:schemeClr val="accent1"/>
            </a:solidFill>
            <a:ln>
              <a:noFill/>
            </a:ln>
            <a:effectLst/>
          </c:spPr>
          <c:invertIfNegative val="0"/>
          <c:dPt>
            <c:idx val="0"/>
            <c:invertIfNegative val="0"/>
            <c:bubble3D val="0"/>
          </c:dPt>
          <c:cat>
            <c:strRef>
              <c:f>Sheet1!$A$2:$A$7</c:f>
              <c:strCache>
                <c:ptCount val="6"/>
                <c:pt idx="0">
                  <c:v>工业总产值</c:v>
                </c:pt>
                <c:pt idx="1">
                  <c:v>工业销售产值</c:v>
                </c:pt>
                <c:pt idx="2">
                  <c:v>新产品产值</c:v>
                </c:pt>
                <c:pt idx="3">
                  <c:v>主营业务收入</c:v>
                </c:pt>
                <c:pt idx="4">
                  <c:v>出口交货值</c:v>
                </c:pt>
                <c:pt idx="5">
                  <c:v>产销率</c:v>
                </c:pt>
              </c:strCache>
            </c:strRef>
          </c:cat>
          <c:val>
            <c:numRef>
              <c:f>Sheet1!$B$2:$B$7</c:f>
              <c:numCache>
                <c:formatCode>0.00_);[Red]\(0.00\)</c:formatCode>
                <c:ptCount val="6"/>
                <c:pt idx="0">
                  <c:v>22.25</c:v>
                </c:pt>
                <c:pt idx="1">
                  <c:v>22</c:v>
                </c:pt>
                <c:pt idx="2">
                  <c:v>3.36</c:v>
                </c:pt>
                <c:pt idx="3">
                  <c:v>21.95</c:v>
                </c:pt>
                <c:pt idx="4">
                  <c:v>10.36</c:v>
                </c:pt>
                <c:pt idx="5" formatCode="0.00%">
                  <c:v>0.9887640449438202</c:v>
                </c:pt>
              </c:numCache>
            </c:numRef>
          </c:val>
        </c:ser>
        <c:ser>
          <c:idx val="1"/>
          <c:order val="1"/>
          <c:tx>
            <c:strRef>
              <c:f>Sheet1!$C$1</c:f>
              <c:strCache>
                <c:ptCount val="1"/>
                <c:pt idx="0">
                  <c:v>2018年度</c:v>
                </c:pt>
              </c:strCache>
            </c:strRef>
          </c:tx>
          <c:spPr>
            <a:solidFill>
              <a:schemeClr val="accent2"/>
            </a:solidFill>
            <a:ln>
              <a:noFill/>
            </a:ln>
            <a:effectLst/>
          </c:spPr>
          <c:invertIfNegative val="0"/>
          <c:cat>
            <c:strRef>
              <c:f>Sheet1!$A$2:$A$7</c:f>
              <c:strCache>
                <c:ptCount val="6"/>
                <c:pt idx="0">
                  <c:v>工业总产值</c:v>
                </c:pt>
                <c:pt idx="1">
                  <c:v>工业销售产值</c:v>
                </c:pt>
                <c:pt idx="2">
                  <c:v>新产品产值</c:v>
                </c:pt>
                <c:pt idx="3">
                  <c:v>主营业务收入</c:v>
                </c:pt>
                <c:pt idx="4">
                  <c:v>出口交货值</c:v>
                </c:pt>
                <c:pt idx="5">
                  <c:v>产销率</c:v>
                </c:pt>
              </c:strCache>
            </c:strRef>
          </c:cat>
          <c:val>
            <c:numRef>
              <c:f>Sheet1!$C$2:$C$7</c:f>
              <c:numCache>
                <c:formatCode>0.00_);[Red]\(0.00\)</c:formatCode>
                <c:ptCount val="6"/>
                <c:pt idx="0">
                  <c:v>21.97</c:v>
                </c:pt>
                <c:pt idx="1">
                  <c:v>21.56</c:v>
                </c:pt>
                <c:pt idx="2">
                  <c:v>3.2</c:v>
                </c:pt>
                <c:pt idx="3">
                  <c:v>21.41</c:v>
                </c:pt>
                <c:pt idx="4">
                  <c:v>9.99</c:v>
                </c:pt>
                <c:pt idx="5" formatCode="0.00%">
                  <c:v>0.98133818843878018</c:v>
                </c:pt>
              </c:numCache>
            </c:numRef>
          </c:val>
        </c:ser>
        <c:dLbls>
          <c:showLegendKey val="0"/>
          <c:showVal val="0"/>
          <c:showCatName val="0"/>
          <c:showSerName val="0"/>
          <c:showPercent val="0"/>
          <c:showBubbleSize val="0"/>
        </c:dLbls>
        <c:gapWidth val="150"/>
        <c:axId val="561477888"/>
        <c:axId val="561479680"/>
      </c:barChart>
      <c:catAx>
        <c:axId val="561477888"/>
        <c:scaling>
          <c:orientation val="minMax"/>
        </c:scaling>
        <c:delete val="0"/>
        <c:axPos val="b"/>
        <c:numFmt formatCode="General"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61479680"/>
        <c:crosses val="autoZero"/>
        <c:auto val="1"/>
        <c:lblAlgn val="ctr"/>
        <c:lblOffset val="100"/>
        <c:tickMarkSkip val="1"/>
        <c:noMultiLvlLbl val="0"/>
      </c:catAx>
      <c:valAx>
        <c:axId val="561479680"/>
        <c:scaling>
          <c:orientation val="minMax"/>
        </c:scaling>
        <c:delete val="0"/>
        <c:axPos val="l"/>
        <c:majorGridlines>
          <c:spPr>
            <a:ln>
              <a:solidFill>
                <a:schemeClr val="tx1">
                  <a:lumMod val="50000"/>
                  <a:lumOff val="50000"/>
                </a:schemeClr>
              </a:solidFill>
            </a:ln>
            <a:effectLst/>
          </c:spPr>
        </c:majorGridlines>
        <c:title>
          <c:tx>
            <c:rich>
              <a:bodyPr vertOverflow="ellipsis" anchor="ctr" anchorCtr="1"/>
              <a:lstStyle/>
              <a:p>
                <a:pPr algn="ctr">
                  <a:defRPr sz="1000" b="1">
                    <a:solidFill>
                      <a:schemeClr val="tx1"/>
                    </a:solidFill>
                    <a:latin typeface="+mn-lt"/>
                    <a:ea typeface="+mn-ea"/>
                    <a:cs typeface="+mn-cs"/>
                  </a:defRPr>
                </a:pPr>
                <a:r>
                  <a:rPr lang="zh-CN" altLang="en-US"/>
                  <a:t>单位：亿元</a:t>
                </a:r>
              </a:p>
            </c:rich>
          </c:tx>
          <c:layout>
            <c:manualLayout>
              <c:xMode val="edge"/>
              <c:yMode val="edge"/>
              <c:x val="2.1164021164021201E-2"/>
              <c:y val="0.40782919823701302"/>
            </c:manualLayout>
          </c:layout>
          <c:overlay val="0"/>
          <c:spPr>
            <a:noFill/>
            <a:ln>
              <a:noFill/>
            </a:ln>
            <a:effectLst/>
          </c:spPr>
        </c:title>
        <c:numFmt formatCode="General" sourceLinked="0"/>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61477888"/>
        <c:crosses val="autoZero"/>
        <c:crossBetween val="between"/>
      </c:valAx>
      <c:dTable>
        <c:showHorzBorder val="1"/>
        <c:showVertBorder val="1"/>
        <c:showOutline val="1"/>
        <c:showKeys val="1"/>
        <c:spPr>
          <a:no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rtl="0">
              <a:defRPr sz="1000" b="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vertOverflow="ellipsis" anchor="ctr" anchorCtr="1"/>
          <a:lstStyle/>
          <a:p>
            <a:pPr algn="ctr">
              <a:defRPr sz="1800" b="1">
                <a:solidFill>
                  <a:schemeClr val="tx1"/>
                </a:solidFill>
                <a:latin typeface="+mn-lt"/>
                <a:ea typeface="+mn-ea"/>
                <a:cs typeface="+mn-cs"/>
              </a:defRPr>
            </a:pPr>
            <a:r>
              <a:rPr lang="zh-CN" altLang="en-US" sz="1400"/>
              <a:t>企业盈利能力指标图</a:t>
            </a:r>
          </a:p>
        </c:rich>
      </c:tx>
      <c:overlay val="0"/>
      <c:spPr>
        <a:noFill/>
        <a:ln>
          <a:noFill/>
        </a:ln>
        <a:effectLst/>
      </c:spPr>
    </c:title>
    <c:autoTitleDeleted val="0"/>
    <c:plotArea>
      <c:layout/>
      <c:barChart>
        <c:barDir val="col"/>
        <c:grouping val="clustered"/>
        <c:varyColors val="0"/>
        <c:ser>
          <c:idx val="0"/>
          <c:order val="0"/>
          <c:tx>
            <c:strRef>
              <c:f>Sheet1!$B$21</c:f>
              <c:strCache>
                <c:ptCount val="1"/>
                <c:pt idx="0">
                  <c:v>2019年度</c:v>
                </c:pt>
              </c:strCache>
            </c:strRef>
          </c:tx>
          <c:spPr>
            <a:solidFill>
              <a:schemeClr val="accent1"/>
            </a:solidFill>
            <a:ln>
              <a:noFill/>
            </a:ln>
            <a:effectLst/>
          </c:spPr>
          <c:invertIfNegative val="0"/>
          <c:cat>
            <c:strRef>
              <c:f>Sheet1!$A$23:$A$25</c:f>
              <c:strCache>
                <c:ptCount val="3"/>
                <c:pt idx="0">
                  <c:v>利税总额</c:v>
                </c:pt>
                <c:pt idx="1">
                  <c:v>利润总额</c:v>
                </c:pt>
                <c:pt idx="2">
                  <c:v>销售利润率</c:v>
                </c:pt>
              </c:strCache>
            </c:strRef>
          </c:cat>
          <c:val>
            <c:numRef>
              <c:f>Sheet1!$B$23:$B$25</c:f>
              <c:numCache>
                <c:formatCode>0.00_ </c:formatCode>
                <c:ptCount val="3"/>
                <c:pt idx="0">
                  <c:v>1.24</c:v>
                </c:pt>
                <c:pt idx="1">
                  <c:v>0.47</c:v>
                </c:pt>
                <c:pt idx="2" formatCode="0.00%">
                  <c:v>2.1363636363636362E-2</c:v>
                </c:pt>
              </c:numCache>
            </c:numRef>
          </c:val>
        </c:ser>
        <c:ser>
          <c:idx val="1"/>
          <c:order val="1"/>
          <c:tx>
            <c:strRef>
              <c:f>Sheet1!$C$21</c:f>
              <c:strCache>
                <c:ptCount val="1"/>
                <c:pt idx="0">
                  <c:v>2018年度</c:v>
                </c:pt>
              </c:strCache>
            </c:strRef>
          </c:tx>
          <c:spPr>
            <a:solidFill>
              <a:schemeClr val="accent2"/>
            </a:solidFill>
            <a:ln>
              <a:noFill/>
            </a:ln>
            <a:effectLst/>
          </c:spPr>
          <c:invertIfNegative val="0"/>
          <c:cat>
            <c:strRef>
              <c:f>Sheet1!$A$23:$A$25</c:f>
              <c:strCache>
                <c:ptCount val="3"/>
                <c:pt idx="0">
                  <c:v>利税总额</c:v>
                </c:pt>
                <c:pt idx="1">
                  <c:v>利润总额</c:v>
                </c:pt>
                <c:pt idx="2">
                  <c:v>销售利润率</c:v>
                </c:pt>
              </c:strCache>
            </c:strRef>
          </c:cat>
          <c:val>
            <c:numRef>
              <c:f>Sheet1!$C$23:$C$25</c:f>
              <c:numCache>
                <c:formatCode>0.00_ </c:formatCode>
                <c:ptCount val="3"/>
                <c:pt idx="0">
                  <c:v>1.18</c:v>
                </c:pt>
                <c:pt idx="1">
                  <c:v>0.43</c:v>
                </c:pt>
                <c:pt idx="2" formatCode="0.00%">
                  <c:v>1.9944341372912802E-2</c:v>
                </c:pt>
              </c:numCache>
            </c:numRef>
          </c:val>
        </c:ser>
        <c:dLbls>
          <c:showLegendKey val="0"/>
          <c:showVal val="0"/>
          <c:showCatName val="0"/>
          <c:showSerName val="0"/>
          <c:showPercent val="0"/>
          <c:showBubbleSize val="0"/>
        </c:dLbls>
        <c:gapWidth val="150"/>
        <c:axId val="561510656"/>
        <c:axId val="553525248"/>
      </c:barChart>
      <c:catAx>
        <c:axId val="561510656"/>
        <c:scaling>
          <c:orientation val="minMax"/>
        </c:scaling>
        <c:delete val="0"/>
        <c:axPos val="b"/>
        <c:numFmt formatCode="General"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53525248"/>
        <c:crosses val="autoZero"/>
        <c:auto val="1"/>
        <c:lblAlgn val="ctr"/>
        <c:lblOffset val="100"/>
        <c:tickMarkSkip val="1"/>
        <c:noMultiLvlLbl val="0"/>
      </c:catAx>
      <c:valAx>
        <c:axId val="553525248"/>
        <c:scaling>
          <c:orientation val="minMax"/>
        </c:scaling>
        <c:delete val="0"/>
        <c:axPos val="l"/>
        <c:majorGridlines>
          <c:spPr>
            <a:ln>
              <a:solidFill>
                <a:schemeClr val="tx1">
                  <a:lumMod val="50000"/>
                  <a:lumOff val="50000"/>
                </a:schemeClr>
              </a:solidFill>
            </a:ln>
            <a:effectLst/>
          </c:spPr>
        </c:majorGridlines>
        <c:title>
          <c:tx>
            <c:rich>
              <a:bodyPr vertOverflow="ellipsis" anchor="ctr" anchorCtr="1"/>
              <a:lstStyle/>
              <a:p>
                <a:pPr algn="ctr">
                  <a:defRPr sz="1000" b="1">
                    <a:solidFill>
                      <a:schemeClr val="tx1"/>
                    </a:solidFill>
                    <a:latin typeface="+mn-lt"/>
                    <a:ea typeface="+mn-ea"/>
                    <a:cs typeface="+mn-cs"/>
                  </a:defRPr>
                </a:pPr>
                <a:r>
                  <a:rPr lang="zh-CN" altLang="en-US"/>
                  <a:t>单位：亿元</a:t>
                </a:r>
              </a:p>
            </c:rich>
          </c:tx>
          <c:overlay val="0"/>
          <c:spPr>
            <a:noFill/>
            <a:ln>
              <a:noFill/>
            </a:ln>
            <a:effectLst/>
          </c:spPr>
        </c:title>
        <c:numFmt formatCode="0.00_ "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61510656"/>
        <c:crosses val="autoZero"/>
        <c:crossBetween val="between"/>
      </c:valAx>
      <c:dTable>
        <c:showHorzBorder val="1"/>
        <c:showVertBorder val="1"/>
        <c:showOutline val="1"/>
        <c:showKeys val="1"/>
        <c:spPr>
          <a:no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rtl="0">
              <a:defRPr sz="1000" b="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vertOverflow="ellipsis" anchor="ctr" anchorCtr="1"/>
          <a:lstStyle/>
          <a:p>
            <a:pPr algn="ctr">
              <a:defRPr sz="1800" b="1">
                <a:solidFill>
                  <a:schemeClr val="tx1"/>
                </a:solidFill>
                <a:latin typeface="+mn-lt"/>
                <a:ea typeface="+mn-ea"/>
                <a:cs typeface="+mn-cs"/>
              </a:defRPr>
            </a:pPr>
            <a:r>
              <a:rPr lang="zh-CN" altLang="en-US" sz="1400"/>
              <a:t>行业资产状况指标图</a:t>
            </a:r>
          </a:p>
        </c:rich>
      </c:tx>
      <c:overlay val="0"/>
      <c:spPr>
        <a:noFill/>
        <a:ln>
          <a:noFill/>
        </a:ln>
        <a:effectLst/>
      </c:spPr>
    </c:title>
    <c:autoTitleDeleted val="0"/>
    <c:plotArea>
      <c:layout/>
      <c:barChart>
        <c:barDir val="col"/>
        <c:grouping val="clustered"/>
        <c:varyColors val="0"/>
        <c:ser>
          <c:idx val="0"/>
          <c:order val="0"/>
          <c:tx>
            <c:strRef>
              <c:f>Sheet1!$B$40</c:f>
              <c:strCache>
                <c:ptCount val="1"/>
                <c:pt idx="0">
                  <c:v>2019年度</c:v>
                </c:pt>
              </c:strCache>
            </c:strRef>
          </c:tx>
          <c:spPr>
            <a:solidFill>
              <a:schemeClr val="accent1"/>
            </a:solidFill>
            <a:ln>
              <a:noFill/>
            </a:ln>
            <a:effectLst/>
          </c:spPr>
          <c:invertIfNegative val="0"/>
          <c:cat>
            <c:strRef>
              <c:f>Sheet1!$A$41:$A$43</c:f>
              <c:strCache>
                <c:ptCount val="3"/>
                <c:pt idx="0">
                  <c:v>资产总额</c:v>
                </c:pt>
                <c:pt idx="1">
                  <c:v>负债总额</c:v>
                </c:pt>
                <c:pt idx="2">
                  <c:v>净资产</c:v>
                </c:pt>
              </c:strCache>
            </c:strRef>
          </c:cat>
          <c:val>
            <c:numRef>
              <c:f>Sheet1!$B$41:$B$43</c:f>
              <c:numCache>
                <c:formatCode>0.00_ </c:formatCode>
                <c:ptCount val="3"/>
                <c:pt idx="0">
                  <c:v>16.329999999999998</c:v>
                </c:pt>
                <c:pt idx="1">
                  <c:v>9.56</c:v>
                </c:pt>
                <c:pt idx="2">
                  <c:v>6.7699999999999978</c:v>
                </c:pt>
              </c:numCache>
            </c:numRef>
          </c:val>
        </c:ser>
        <c:ser>
          <c:idx val="1"/>
          <c:order val="1"/>
          <c:tx>
            <c:strRef>
              <c:f>Sheet1!$C$40</c:f>
              <c:strCache>
                <c:ptCount val="1"/>
                <c:pt idx="0">
                  <c:v>2018年度</c:v>
                </c:pt>
              </c:strCache>
            </c:strRef>
          </c:tx>
          <c:spPr>
            <a:solidFill>
              <a:schemeClr val="accent2"/>
            </a:solidFill>
            <a:ln>
              <a:noFill/>
            </a:ln>
            <a:effectLst/>
          </c:spPr>
          <c:invertIfNegative val="0"/>
          <c:cat>
            <c:strRef>
              <c:f>Sheet1!$A$41:$A$43</c:f>
              <c:strCache>
                <c:ptCount val="3"/>
                <c:pt idx="0">
                  <c:v>资产总额</c:v>
                </c:pt>
                <c:pt idx="1">
                  <c:v>负债总额</c:v>
                </c:pt>
                <c:pt idx="2">
                  <c:v>净资产</c:v>
                </c:pt>
              </c:strCache>
            </c:strRef>
          </c:cat>
          <c:val>
            <c:numRef>
              <c:f>Sheet1!$C$41:$C$43</c:f>
              <c:numCache>
                <c:formatCode>0.00_ </c:formatCode>
                <c:ptCount val="3"/>
                <c:pt idx="0">
                  <c:v>16.21</c:v>
                </c:pt>
                <c:pt idx="1">
                  <c:v>9.4499999999999993</c:v>
                </c:pt>
                <c:pt idx="2">
                  <c:v>6.7600000000000016</c:v>
                </c:pt>
              </c:numCache>
            </c:numRef>
          </c:val>
        </c:ser>
        <c:dLbls>
          <c:showLegendKey val="0"/>
          <c:showVal val="0"/>
          <c:showCatName val="0"/>
          <c:showSerName val="0"/>
          <c:showPercent val="0"/>
          <c:showBubbleSize val="0"/>
        </c:dLbls>
        <c:gapWidth val="150"/>
        <c:axId val="553543936"/>
        <c:axId val="553553920"/>
      </c:barChart>
      <c:catAx>
        <c:axId val="553543936"/>
        <c:scaling>
          <c:orientation val="minMax"/>
        </c:scaling>
        <c:delete val="0"/>
        <c:axPos val="b"/>
        <c:numFmt formatCode="General"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53553920"/>
        <c:crosses val="autoZero"/>
        <c:auto val="1"/>
        <c:lblAlgn val="ctr"/>
        <c:lblOffset val="100"/>
        <c:tickMarkSkip val="1"/>
        <c:noMultiLvlLbl val="0"/>
      </c:catAx>
      <c:valAx>
        <c:axId val="553553920"/>
        <c:scaling>
          <c:orientation val="minMax"/>
        </c:scaling>
        <c:delete val="0"/>
        <c:axPos val="l"/>
        <c:majorGridlines>
          <c:spPr>
            <a:ln>
              <a:solidFill>
                <a:schemeClr val="tx1">
                  <a:lumMod val="50000"/>
                  <a:lumOff val="50000"/>
                </a:schemeClr>
              </a:solidFill>
            </a:ln>
            <a:effectLst/>
          </c:spPr>
        </c:majorGridlines>
        <c:title>
          <c:tx>
            <c:rich>
              <a:bodyPr vertOverflow="ellipsis" anchor="ctr" anchorCtr="1"/>
              <a:lstStyle/>
              <a:p>
                <a:pPr algn="ctr">
                  <a:defRPr sz="1000" b="1">
                    <a:solidFill>
                      <a:schemeClr val="tx1"/>
                    </a:solidFill>
                    <a:latin typeface="+mn-lt"/>
                    <a:ea typeface="+mn-ea"/>
                    <a:cs typeface="+mn-cs"/>
                  </a:defRPr>
                </a:pPr>
                <a:r>
                  <a:rPr lang="zh-CN" altLang="en-US"/>
                  <a:t>单位：亿元</a:t>
                </a:r>
              </a:p>
            </c:rich>
          </c:tx>
          <c:overlay val="0"/>
          <c:spPr>
            <a:noFill/>
            <a:ln>
              <a:noFill/>
            </a:ln>
            <a:effectLst/>
          </c:spPr>
        </c:title>
        <c:numFmt formatCode="0.00_ " sourceLinked="1"/>
        <c:majorTickMark val="none"/>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zh-CN"/>
          </a:p>
        </c:txPr>
        <c:crossAx val="553543936"/>
        <c:crosses val="autoZero"/>
        <c:crossBetween val="between"/>
      </c:valAx>
      <c:dTable>
        <c:showHorzBorder val="1"/>
        <c:showVertBorder val="1"/>
        <c:showOutline val="1"/>
        <c:showKeys val="1"/>
        <c:spPr>
          <a:no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rtl="0">
              <a:defRPr sz="1000" b="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17899539076596"/>
          <c:y val="0.15662864559646753"/>
          <c:w val="0.58549696351506952"/>
          <c:h val="0.7921668333806694"/>
        </c:manualLayout>
      </c:layout>
      <c:pieChart>
        <c:varyColors val="1"/>
        <c:ser>
          <c:idx val="0"/>
          <c:order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Sheet1!$A$65:$A$69</c:f>
              <c:strCache>
                <c:ptCount val="5"/>
                <c:pt idx="0">
                  <c:v>箱包</c:v>
                </c:pt>
                <c:pt idx="1">
                  <c:v>制鞋</c:v>
                </c:pt>
                <c:pt idx="2">
                  <c:v>皮革化工</c:v>
                </c:pt>
                <c:pt idx="3">
                  <c:v>合成革</c:v>
                </c:pt>
                <c:pt idx="4">
                  <c:v>其他产品</c:v>
                </c:pt>
              </c:strCache>
            </c:strRef>
          </c:cat>
          <c:val>
            <c:numRef>
              <c:f>Sheet1!$C$65:$C$69</c:f>
              <c:numCache>
                <c:formatCode>0.00%</c:formatCode>
                <c:ptCount val="5"/>
                <c:pt idx="0">
                  <c:v>0.60808988764044936</c:v>
                </c:pt>
                <c:pt idx="1">
                  <c:v>0.12853932584269662</c:v>
                </c:pt>
                <c:pt idx="2">
                  <c:v>7.4157303370786506E-2</c:v>
                </c:pt>
                <c:pt idx="3">
                  <c:v>0.1348314606741573</c:v>
                </c:pt>
                <c:pt idx="4">
                  <c:v>5.438202247191011E-2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zh-CN"/>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a:t>细分行业产值指标图</a:t>
            </a:r>
          </a:p>
        </c:rich>
      </c:tx>
      <c:overlay val="0"/>
    </c:title>
    <c:autoTitleDeleted val="0"/>
    <c:plotArea>
      <c:layout/>
      <c:barChart>
        <c:barDir val="col"/>
        <c:grouping val="clustered"/>
        <c:varyColors val="0"/>
        <c:ser>
          <c:idx val="0"/>
          <c:order val="0"/>
          <c:tx>
            <c:strRef>
              <c:f>Sheet1!$B$80</c:f>
              <c:strCache>
                <c:ptCount val="1"/>
                <c:pt idx="0">
                  <c:v>2019年度</c:v>
                </c:pt>
              </c:strCache>
            </c:strRef>
          </c:tx>
          <c:invertIfNegative val="0"/>
          <c:cat>
            <c:strRef>
              <c:f>Sheet1!$A$81:$A$85</c:f>
              <c:strCache>
                <c:ptCount val="5"/>
                <c:pt idx="0">
                  <c:v>箱包</c:v>
                </c:pt>
                <c:pt idx="1">
                  <c:v>制鞋</c:v>
                </c:pt>
                <c:pt idx="2">
                  <c:v>皮革化工</c:v>
                </c:pt>
                <c:pt idx="3">
                  <c:v>合成革</c:v>
                </c:pt>
                <c:pt idx="4">
                  <c:v>其他产品</c:v>
                </c:pt>
              </c:strCache>
            </c:strRef>
          </c:cat>
          <c:val>
            <c:numRef>
              <c:f>Sheet1!$B$81:$B$85</c:f>
              <c:numCache>
                <c:formatCode>General</c:formatCode>
                <c:ptCount val="5"/>
                <c:pt idx="0">
                  <c:v>13.53</c:v>
                </c:pt>
                <c:pt idx="1">
                  <c:v>2.86</c:v>
                </c:pt>
                <c:pt idx="2">
                  <c:v>1.65</c:v>
                </c:pt>
                <c:pt idx="3">
                  <c:v>3</c:v>
                </c:pt>
                <c:pt idx="4">
                  <c:v>1.21</c:v>
                </c:pt>
              </c:numCache>
            </c:numRef>
          </c:val>
        </c:ser>
        <c:ser>
          <c:idx val="1"/>
          <c:order val="1"/>
          <c:tx>
            <c:strRef>
              <c:f>Sheet1!$C$80</c:f>
              <c:strCache>
                <c:ptCount val="1"/>
                <c:pt idx="0">
                  <c:v>2018年度</c:v>
                </c:pt>
              </c:strCache>
            </c:strRef>
          </c:tx>
          <c:invertIfNegative val="0"/>
          <c:cat>
            <c:strRef>
              <c:f>Sheet1!$A$81:$A$85</c:f>
              <c:strCache>
                <c:ptCount val="5"/>
                <c:pt idx="0">
                  <c:v>箱包</c:v>
                </c:pt>
                <c:pt idx="1">
                  <c:v>制鞋</c:v>
                </c:pt>
                <c:pt idx="2">
                  <c:v>皮革化工</c:v>
                </c:pt>
                <c:pt idx="3">
                  <c:v>合成革</c:v>
                </c:pt>
                <c:pt idx="4">
                  <c:v>其他产品</c:v>
                </c:pt>
              </c:strCache>
            </c:strRef>
          </c:cat>
          <c:val>
            <c:numRef>
              <c:f>Sheet1!$C$81:$C$85</c:f>
              <c:numCache>
                <c:formatCode>General</c:formatCode>
                <c:ptCount val="5"/>
                <c:pt idx="0">
                  <c:v>12.92</c:v>
                </c:pt>
                <c:pt idx="1">
                  <c:v>2.81</c:v>
                </c:pt>
                <c:pt idx="2">
                  <c:v>2.06</c:v>
                </c:pt>
                <c:pt idx="3">
                  <c:v>2.99</c:v>
                </c:pt>
                <c:pt idx="4">
                  <c:v>1.19</c:v>
                </c:pt>
              </c:numCache>
            </c:numRef>
          </c:val>
        </c:ser>
        <c:dLbls>
          <c:showLegendKey val="0"/>
          <c:showVal val="0"/>
          <c:showCatName val="0"/>
          <c:showSerName val="0"/>
          <c:showPercent val="0"/>
          <c:showBubbleSize val="0"/>
        </c:dLbls>
        <c:gapWidth val="150"/>
        <c:axId val="561636480"/>
        <c:axId val="561638016"/>
      </c:barChart>
      <c:catAx>
        <c:axId val="561636480"/>
        <c:scaling>
          <c:orientation val="minMax"/>
        </c:scaling>
        <c:delete val="0"/>
        <c:axPos val="b"/>
        <c:majorTickMark val="none"/>
        <c:minorTickMark val="none"/>
        <c:tickLblPos val="nextTo"/>
        <c:crossAx val="561638016"/>
        <c:crosses val="autoZero"/>
        <c:auto val="1"/>
        <c:lblAlgn val="ctr"/>
        <c:lblOffset val="100"/>
        <c:noMultiLvlLbl val="0"/>
      </c:catAx>
      <c:valAx>
        <c:axId val="561638016"/>
        <c:scaling>
          <c:orientation val="minMax"/>
        </c:scaling>
        <c:delete val="0"/>
        <c:axPos val="l"/>
        <c:majorGridlines/>
        <c:title>
          <c:tx>
            <c:rich>
              <a:bodyPr/>
              <a:lstStyle/>
              <a:p>
                <a:pPr>
                  <a:defRPr/>
                </a:pPr>
                <a:r>
                  <a:rPr lang="zh-CN" altLang="en-US"/>
                  <a:t>单位：亿元</a:t>
                </a:r>
              </a:p>
            </c:rich>
          </c:tx>
          <c:overlay val="0"/>
        </c:title>
        <c:numFmt formatCode="General" sourceLinked="1"/>
        <c:majorTickMark val="none"/>
        <c:minorTickMark val="none"/>
        <c:tickLblPos val="nextTo"/>
        <c:crossAx val="5616364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0.23338</cdr:x>
      <cdr:y>0.02243</cdr:y>
    </cdr:from>
    <cdr:to>
      <cdr:x>0.82505</cdr:x>
      <cdr:y>0.14883</cdr:y>
    </cdr:to>
    <cdr:sp macro="" textlink="">
      <cdr:nvSpPr>
        <cdr:cNvPr id="2" name="TextBox 1"/>
        <cdr:cNvSpPr txBox="1"/>
      </cdr:nvSpPr>
      <cdr:spPr>
        <a:xfrm xmlns:a="http://schemas.openxmlformats.org/drawingml/2006/main">
          <a:off x="1213723" y="72426"/>
          <a:ext cx="3077069" cy="4081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400" b="1"/>
            <a:t>细分行业工业总产值所占比例图</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nblia@126.com</dc:creator>
  <cp:keywords/>
  <dc:description/>
  <cp:lastModifiedBy>nblia@126.com</cp:lastModifiedBy>
  <cp:revision>2</cp:revision>
  <dcterms:created xsi:type="dcterms:W3CDTF">2020-11-02T03:08:00Z</dcterms:created>
  <dcterms:modified xsi:type="dcterms:W3CDTF">2020-11-02T03:09:00Z</dcterms:modified>
</cp:coreProperties>
</file>