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00" w:rsidRDefault="007A1B00" w:rsidP="007A1B00">
      <w:pPr>
        <w:jc w:val="center"/>
        <w:rPr>
          <w:rFonts w:asciiTheme="minorEastAsia" w:hAnsiTheme="minorEastAsia"/>
          <w:b/>
          <w:sz w:val="36"/>
          <w:szCs w:val="36"/>
        </w:rPr>
      </w:pPr>
      <w:r>
        <w:rPr>
          <w:rFonts w:asciiTheme="minorEastAsia" w:hAnsiTheme="minorEastAsia" w:hint="eastAsia"/>
          <w:b/>
          <w:sz w:val="36"/>
          <w:szCs w:val="36"/>
        </w:rPr>
        <w:t>2019上半年度宁波市皮革箱包行业统计</w:t>
      </w:r>
    </w:p>
    <w:p w:rsidR="007A1B00" w:rsidRDefault="007A1B00" w:rsidP="007A1B00">
      <w:pPr>
        <w:jc w:val="center"/>
        <w:rPr>
          <w:rFonts w:asciiTheme="minorEastAsia" w:hAnsiTheme="minorEastAsia"/>
          <w:b/>
          <w:sz w:val="36"/>
          <w:szCs w:val="36"/>
        </w:rPr>
      </w:pPr>
      <w:r>
        <w:rPr>
          <w:rFonts w:asciiTheme="minorEastAsia" w:hAnsiTheme="minorEastAsia" w:hint="eastAsia"/>
          <w:b/>
          <w:sz w:val="36"/>
          <w:szCs w:val="36"/>
        </w:rPr>
        <w:t>与运行分析报告</w:t>
      </w:r>
    </w:p>
    <w:p w:rsidR="007A1B00" w:rsidRDefault="007A1B00" w:rsidP="007A1B00">
      <w:pPr>
        <w:jc w:val="center"/>
        <w:rPr>
          <w:b/>
          <w:sz w:val="48"/>
          <w:szCs w:val="48"/>
        </w:rPr>
      </w:pPr>
    </w:p>
    <w:p w:rsidR="007A1B00" w:rsidRDefault="007A1B00" w:rsidP="007A1B00">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一、行业基本情况</w:t>
      </w:r>
    </w:p>
    <w:p w:rsidR="007A1B00" w:rsidRDefault="007A1B00" w:rsidP="007A1B00">
      <w:pPr>
        <w:ind w:firstLineChars="200" w:firstLine="640"/>
        <w:rPr>
          <w:rFonts w:ascii="楷体" w:eastAsia="楷体" w:hAnsi="楷体"/>
          <w:sz w:val="32"/>
          <w:szCs w:val="32"/>
        </w:rPr>
      </w:pPr>
      <w:r>
        <w:rPr>
          <w:rFonts w:ascii="楷体" w:eastAsia="楷体" w:hAnsi="楷体" w:hint="eastAsia"/>
          <w:sz w:val="32"/>
          <w:szCs w:val="32"/>
        </w:rPr>
        <w:t>（一）运行情况</w:t>
      </w:r>
    </w:p>
    <w:p w:rsidR="007A1B00" w:rsidRDefault="007A1B00" w:rsidP="007A1B00">
      <w:pPr>
        <w:ind w:firstLineChars="200" w:firstLine="640"/>
        <w:rPr>
          <w:rFonts w:ascii="仿宋" w:eastAsia="仿宋" w:hAnsi="仿宋"/>
          <w:sz w:val="32"/>
          <w:szCs w:val="32"/>
        </w:rPr>
      </w:pPr>
      <w:r>
        <w:rPr>
          <w:rFonts w:ascii="仿宋_GB2312" w:eastAsia="仿宋_GB2312" w:hAnsi="楷体" w:hint="eastAsia"/>
          <w:sz w:val="32"/>
          <w:szCs w:val="32"/>
        </w:rPr>
        <w:t>根据宁波市统计局数据，2019年上半年度，</w:t>
      </w:r>
      <w:proofErr w:type="gramStart"/>
      <w:r>
        <w:rPr>
          <w:rFonts w:ascii="仿宋_GB2312" w:eastAsia="仿宋_GB2312" w:hAnsi="楷体" w:hint="eastAsia"/>
          <w:sz w:val="32"/>
          <w:szCs w:val="32"/>
        </w:rPr>
        <w:t>宁波市</w:t>
      </w:r>
      <w:r w:rsidRPr="006013EF">
        <w:rPr>
          <w:rFonts w:ascii="仿宋" w:eastAsia="仿宋" w:hAnsi="仿宋" w:hint="eastAsia"/>
          <w:sz w:val="32"/>
          <w:szCs w:val="32"/>
        </w:rPr>
        <w:t>宁波市</w:t>
      </w:r>
      <w:proofErr w:type="gramEnd"/>
      <w:r w:rsidRPr="006013EF">
        <w:rPr>
          <w:rFonts w:ascii="仿宋" w:eastAsia="仿宋" w:hAnsi="仿宋" w:hint="eastAsia"/>
          <w:sz w:val="32"/>
          <w:szCs w:val="32"/>
        </w:rPr>
        <w:t>皮革、毛皮及其制品和制鞋业</w:t>
      </w:r>
      <w:r>
        <w:rPr>
          <w:rFonts w:ascii="仿宋" w:eastAsia="仿宋" w:hAnsi="仿宋" w:hint="eastAsia"/>
          <w:sz w:val="32"/>
          <w:szCs w:val="32"/>
        </w:rPr>
        <w:t>工业增加值为1.49亿元，同比增长4.1%；工业销售产值为5.55亿元，同比增长4.2%；出口交货值为2.59亿元，同比增长19.2%；新产品产值为0.22亿元，同比下降7.3%；产销率为95.6%；研发费用为0.07亿元，同比增长23.9%。</w:t>
      </w:r>
    </w:p>
    <w:p w:rsidR="007A1B00" w:rsidRPr="00D17C3F" w:rsidRDefault="007A1B00" w:rsidP="007A1B00">
      <w:pPr>
        <w:ind w:firstLineChars="200" w:firstLine="640"/>
        <w:rPr>
          <w:rFonts w:ascii="仿宋_GB2312" w:eastAsia="仿宋_GB2312" w:hAnsi="楷体"/>
          <w:sz w:val="32"/>
          <w:szCs w:val="32"/>
        </w:rPr>
      </w:pPr>
      <w:r>
        <w:rPr>
          <w:rFonts w:ascii="仿宋_GB2312" w:eastAsia="仿宋_GB2312" w:hAnsi="楷体" w:hint="eastAsia"/>
          <w:sz w:val="32"/>
          <w:szCs w:val="32"/>
        </w:rPr>
        <w:t>根据中国皮革协会数据，</w:t>
      </w:r>
      <w:r w:rsidRPr="008E1FAB">
        <w:rPr>
          <w:rFonts w:ascii="仿宋_GB2312" w:eastAsia="仿宋_GB2312" w:hAnsi="楷体" w:hint="eastAsia"/>
          <w:sz w:val="32"/>
          <w:szCs w:val="32"/>
        </w:rPr>
        <w:t>2019年1-6月</w:t>
      </w:r>
      <w:r>
        <w:rPr>
          <w:rFonts w:ascii="仿宋_GB2312" w:eastAsia="仿宋_GB2312" w:hAnsi="楷体" w:hint="eastAsia"/>
          <w:sz w:val="32"/>
          <w:szCs w:val="32"/>
        </w:rPr>
        <w:t>，全国</w:t>
      </w:r>
      <w:r w:rsidRPr="008E1FAB">
        <w:rPr>
          <w:rFonts w:ascii="仿宋_GB2312" w:eastAsia="仿宋_GB2312" w:hAnsi="楷体" w:hint="eastAsia"/>
          <w:sz w:val="32"/>
          <w:szCs w:val="32"/>
        </w:rPr>
        <w:t>皮革、毛皮、羽毛及其制品和制鞋业汇总企业单位数8102家，亏损企业数1193家，营业收入5802.49亿元，同比增长3.46%</w:t>
      </w:r>
      <w:r>
        <w:rPr>
          <w:rFonts w:ascii="仿宋_GB2312" w:eastAsia="仿宋_GB2312" w:hAnsi="楷体" w:hint="eastAsia"/>
          <w:sz w:val="32"/>
          <w:szCs w:val="32"/>
        </w:rPr>
        <w:t>；</w:t>
      </w:r>
      <w:r w:rsidRPr="008E1FAB">
        <w:rPr>
          <w:rFonts w:ascii="仿宋_GB2312" w:eastAsia="仿宋_GB2312" w:hAnsi="楷体" w:hint="eastAsia"/>
          <w:sz w:val="32"/>
          <w:szCs w:val="32"/>
        </w:rPr>
        <w:t>利润总额314.94亿元，同比增加2.35%</w:t>
      </w:r>
      <w:r>
        <w:rPr>
          <w:rFonts w:ascii="仿宋_GB2312" w:eastAsia="仿宋_GB2312" w:hAnsi="楷体" w:hint="eastAsia"/>
          <w:sz w:val="32"/>
          <w:szCs w:val="32"/>
        </w:rPr>
        <w:t>。</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宁波市皮革行业协会对协会会员中100家皮革箱包工业企业2019上半年度经济运行数据进行了统计，其中</w:t>
      </w:r>
      <w:proofErr w:type="gramStart"/>
      <w:r w:rsidRPr="00EC5413">
        <w:rPr>
          <w:rFonts w:ascii="仿宋_GB2312" w:eastAsia="仿宋_GB2312" w:hAnsi="楷体" w:hint="eastAsia"/>
          <w:sz w:val="32"/>
          <w:szCs w:val="32"/>
        </w:rPr>
        <w:t>规</w:t>
      </w:r>
      <w:proofErr w:type="gramEnd"/>
      <w:r w:rsidRPr="00EC5413">
        <w:rPr>
          <w:rFonts w:ascii="仿宋_GB2312" w:eastAsia="仿宋_GB2312" w:hAnsi="楷体" w:hint="eastAsia"/>
          <w:sz w:val="32"/>
          <w:szCs w:val="32"/>
        </w:rPr>
        <w:t>上企业26家。以下所有分析全部基于100家协会会员统计数据。据协会统计，2019上半年度，宁波市皮革箱包行业完成工业总产值10.22亿元，同比增长1.89％；完成销售产值10.17亿元，同比增长3.14％，其中出口5.44亿元，同比下降1.63％；实现利润0.28亿元，同比增长为0。从宁波市皮革</w:t>
      </w:r>
      <w:r w:rsidRPr="00EC5413">
        <w:rPr>
          <w:rFonts w:ascii="仿宋_GB2312" w:eastAsia="仿宋_GB2312" w:hAnsi="楷体" w:hint="eastAsia"/>
          <w:sz w:val="32"/>
          <w:szCs w:val="32"/>
        </w:rPr>
        <w:lastRenderedPageBreak/>
        <w:t>箱包工业企业细分来看， 2019上半年度，箱包业完成产值6.2亿元，同比增长1.64%；制鞋业完成产值1.15亿元，同比增长4.55%；皮革化工业完成产值1.2亿元，同比增长0.84%；合成革业完成产值1.01亿元，同比增长3.06%。</w:t>
      </w:r>
    </w:p>
    <w:p w:rsidR="007A1B00" w:rsidRDefault="007A1B00" w:rsidP="007A1B00">
      <w:pPr>
        <w:ind w:firstLineChars="200" w:firstLine="640"/>
        <w:rPr>
          <w:rFonts w:ascii="楷体" w:eastAsia="楷体" w:hAnsi="楷体"/>
          <w:sz w:val="32"/>
          <w:szCs w:val="32"/>
        </w:rPr>
      </w:pPr>
      <w:r>
        <w:rPr>
          <w:rFonts w:ascii="楷体" w:eastAsia="楷体" w:hAnsi="楷体" w:hint="eastAsia"/>
          <w:sz w:val="32"/>
          <w:szCs w:val="32"/>
        </w:rPr>
        <w:t>（二）产业特点</w:t>
      </w:r>
    </w:p>
    <w:p w:rsidR="007A1B00" w:rsidRPr="00EC5413" w:rsidRDefault="007A1B00" w:rsidP="007A1B00">
      <w:pPr>
        <w:ind w:firstLineChars="200" w:firstLine="643"/>
        <w:rPr>
          <w:rFonts w:ascii="仿宋_GB2312" w:eastAsia="仿宋_GB2312" w:hAnsi="楷体"/>
          <w:b/>
          <w:sz w:val="32"/>
          <w:szCs w:val="32"/>
        </w:rPr>
      </w:pPr>
      <w:r w:rsidRPr="00EC5413">
        <w:rPr>
          <w:rFonts w:ascii="仿宋_GB2312" w:eastAsia="仿宋_GB2312" w:hAnsi="楷体" w:hint="eastAsia"/>
          <w:b/>
          <w:sz w:val="32"/>
          <w:szCs w:val="32"/>
        </w:rPr>
        <w:t>1、主要经济指标增长乏力</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2019上半年度，宁波市皮革箱包行业完成工业生产总值10.22亿元，同比增长1.89%；工业销售产值10.17亿元，同比增长3.14%；新产品产值1.04亿元，同比增长8.33%；新产品占比10.17%，同比增长6.27%；主营业务收入9.91亿元，同比增长5.09%；出口交货值5.44亿元，同比下降1.63%；行业产销率99.51%，同比增长1.23%。</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从主要经济数据来看，2019上半年度宁波市皮革箱包行业已进入了增长的瓶颈期，主要经济指标增长乏力只能保微弱的增长，特别是出口，已经进入了负增长态势，新产品产值未能维持两位数的增长。结合协会对企也实际走访调研情况分析，在中美贸易摩擦持续升级的影响下，今年企业普遍反映外贸订单不如从前，量小、压价等现象普遍存在，小</w:t>
      </w:r>
      <w:proofErr w:type="gramStart"/>
      <w:r w:rsidRPr="00EC5413">
        <w:rPr>
          <w:rFonts w:ascii="仿宋_GB2312" w:eastAsia="仿宋_GB2312" w:hAnsi="楷体" w:hint="eastAsia"/>
          <w:sz w:val="32"/>
          <w:szCs w:val="32"/>
        </w:rPr>
        <w:t>微企业</w:t>
      </w:r>
      <w:proofErr w:type="gramEnd"/>
      <w:r w:rsidRPr="00EC5413">
        <w:rPr>
          <w:rFonts w:ascii="仿宋_GB2312" w:eastAsia="仿宋_GB2312" w:hAnsi="楷体" w:hint="eastAsia"/>
          <w:sz w:val="32"/>
          <w:szCs w:val="32"/>
        </w:rPr>
        <w:t>只能勉强维持当前规模，更谈不上发展。</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宁波皮革箱包行业主要以出口为主，总体数据来看出口交货值占工业销售产值的53.49%，从主要的箱包产业来看，2019上半年度箱包企业出口交货值占箱包工业销售产值的</w:t>
      </w:r>
      <w:r w:rsidRPr="00EC5413">
        <w:rPr>
          <w:rFonts w:ascii="仿宋_GB2312" w:eastAsia="仿宋_GB2312" w:hAnsi="楷体" w:hint="eastAsia"/>
          <w:sz w:val="32"/>
          <w:szCs w:val="32"/>
        </w:rPr>
        <w:lastRenderedPageBreak/>
        <w:t>78.13%。北美、欧洲、日韩是宁波皮革箱包行业出口的主要国家和地区，主要出口模式是国外订单加工。因中美贸易摩擦的影响，对美出口大大减少，在美国对原产于中国的箱包加了25%的关税后，宁波很箱包企业的美国客户有些取消了订单，有些减少了采购量。对有些以往美国订单占到50%甚至有80%到企业来说，造成了巨大的冲击。</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协会从走访中了解到，已有不少企业为了应对中美贸易摩擦带来的不利影响，已赴东南亚国家考察建厂事宜。另有企业从出口主导逐步转向内销市场，积极与各大电商平台合作，同时也有企业积蓄力量投入自主品牌的发展道路。</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宁波皮革箱包行业从多年向发达国家和地区加工产品的经验中积累了不少技术实力，生产的产品档次中上，再加上近几年政府大力发展时尚产业的利好下，对企业自主品牌的发展及产品档次的提升有一定的推动作用，有利于企业进一步的发展。为了帮助企业提高设计能力，提升产品附加值，协会通过与宁波市工业设计联合会合作举办设计对接会，与浙江纺织服装职业技术学院对接，开展企业新产品开发、设计人才培养等合作。</w:t>
      </w:r>
    </w:p>
    <w:p w:rsidR="007A1B00" w:rsidRDefault="007A1B00" w:rsidP="007A1B00">
      <w:pPr>
        <w:widowControl/>
        <w:jc w:val="left"/>
        <w:rPr>
          <w:rFonts w:ascii="仿宋" w:eastAsia="仿宋" w:hAnsi="仿宋"/>
          <w:b/>
          <w:sz w:val="32"/>
          <w:szCs w:val="32"/>
        </w:rPr>
      </w:pPr>
      <w:r>
        <w:rPr>
          <w:rFonts w:ascii="仿宋" w:eastAsia="仿宋" w:hAnsi="仿宋"/>
          <w:b/>
          <w:sz w:val="32"/>
          <w:szCs w:val="32"/>
        </w:rPr>
        <w:br w:type="page"/>
      </w:r>
    </w:p>
    <w:p w:rsidR="007A1B00" w:rsidRDefault="007A1B00" w:rsidP="007A1B00">
      <w:pPr>
        <w:widowControl/>
        <w:jc w:val="center"/>
        <w:rPr>
          <w:rFonts w:ascii="仿宋" w:eastAsia="仿宋" w:hAnsi="仿宋"/>
          <w:b/>
          <w:sz w:val="32"/>
          <w:szCs w:val="32"/>
        </w:rPr>
      </w:pPr>
      <w:r>
        <w:rPr>
          <w:rFonts w:ascii="仿宋" w:eastAsia="仿宋" w:hAnsi="仿宋" w:hint="eastAsia"/>
          <w:b/>
          <w:sz w:val="32"/>
          <w:szCs w:val="32"/>
        </w:rPr>
        <w:lastRenderedPageBreak/>
        <w:t>主要经济指标</w:t>
      </w:r>
    </w:p>
    <w:tbl>
      <w:tblPr>
        <w:tblW w:w="8580" w:type="dxa"/>
        <w:tblInd w:w="93" w:type="dxa"/>
        <w:tblLayout w:type="fixed"/>
        <w:tblLook w:val="04A0" w:firstRow="1" w:lastRow="0" w:firstColumn="1" w:lastColumn="0" w:noHBand="0" w:noVBand="1"/>
      </w:tblPr>
      <w:tblGrid>
        <w:gridCol w:w="2240"/>
        <w:gridCol w:w="2440"/>
        <w:gridCol w:w="2300"/>
        <w:gridCol w:w="1600"/>
      </w:tblGrid>
      <w:tr w:rsidR="007A1B00"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主要指标</w:t>
            </w:r>
          </w:p>
        </w:tc>
        <w:tc>
          <w:tcPr>
            <w:tcW w:w="244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16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增长比例</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工业总产值</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10.22</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10.03</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1.89%</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工业销售产值</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10.17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9.86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3.14%</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新产品产值</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1.04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0.96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8.33%</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主营业务收入</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9.91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9.43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5.09%</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出口交货值</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5.44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sz w:val="28"/>
                <w:szCs w:val="28"/>
              </w:rPr>
            </w:pPr>
            <w:r>
              <w:rPr>
                <w:rFonts w:ascii="仿宋_GB2312" w:eastAsia="仿宋_GB2312" w:hint="eastAsia"/>
                <w:sz w:val="28"/>
                <w:szCs w:val="28"/>
              </w:rPr>
              <w:t xml:space="preserve">5.53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-1.63%</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产销率</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center"/>
              <w:rPr>
                <w:rFonts w:ascii="仿宋_GB2312" w:eastAsia="仿宋_GB2312"/>
                <w:sz w:val="28"/>
                <w:szCs w:val="28"/>
              </w:rPr>
            </w:pPr>
            <w:r>
              <w:rPr>
                <w:rFonts w:ascii="仿宋_GB2312" w:eastAsia="仿宋_GB2312" w:hint="eastAsia"/>
                <w:sz w:val="28"/>
                <w:szCs w:val="28"/>
              </w:rPr>
              <w:t>99.51%</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center"/>
              <w:rPr>
                <w:rFonts w:ascii="仿宋_GB2312" w:eastAsia="仿宋_GB2312"/>
                <w:sz w:val="28"/>
                <w:szCs w:val="28"/>
              </w:rPr>
            </w:pPr>
            <w:r>
              <w:rPr>
                <w:rFonts w:ascii="仿宋_GB2312" w:eastAsia="仿宋_GB2312" w:hint="eastAsia"/>
                <w:sz w:val="28"/>
                <w:szCs w:val="28"/>
              </w:rPr>
              <w:t>98.31%</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1.23%</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新产品占比</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center"/>
              <w:rPr>
                <w:rFonts w:ascii="仿宋_GB2312" w:eastAsia="仿宋_GB2312"/>
                <w:sz w:val="28"/>
                <w:szCs w:val="28"/>
              </w:rPr>
            </w:pPr>
            <w:r>
              <w:rPr>
                <w:rFonts w:ascii="仿宋_GB2312" w:eastAsia="仿宋_GB2312" w:hint="eastAsia"/>
                <w:sz w:val="28"/>
                <w:szCs w:val="28"/>
              </w:rPr>
              <w:t>10.18%</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center"/>
              <w:rPr>
                <w:rFonts w:ascii="仿宋_GB2312" w:eastAsia="仿宋_GB2312"/>
                <w:sz w:val="28"/>
                <w:szCs w:val="28"/>
              </w:rPr>
            </w:pPr>
            <w:r>
              <w:rPr>
                <w:rFonts w:ascii="仿宋_GB2312" w:eastAsia="仿宋_GB2312" w:hint="eastAsia"/>
                <w:sz w:val="28"/>
                <w:szCs w:val="28"/>
              </w:rPr>
              <w:t>9.57%</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6.32%</w:t>
            </w:r>
          </w:p>
        </w:tc>
      </w:tr>
    </w:tbl>
    <w:p w:rsidR="007A1B00" w:rsidRDefault="007A1B00" w:rsidP="007A1B00">
      <w:pPr>
        <w:widowControl/>
        <w:jc w:val="center"/>
        <w:rPr>
          <w:rFonts w:ascii="仿宋" w:eastAsia="仿宋" w:hAnsi="仿宋"/>
          <w:b/>
          <w:sz w:val="24"/>
          <w:szCs w:val="24"/>
        </w:rPr>
      </w:pPr>
    </w:p>
    <w:p w:rsidR="007A1B00" w:rsidRDefault="007A1B00" w:rsidP="007A1B00">
      <w:pPr>
        <w:ind w:firstLineChars="200" w:firstLine="420"/>
        <w:rPr>
          <w:rFonts w:ascii="楷体" w:eastAsia="楷体" w:hAnsi="楷体"/>
          <w:sz w:val="32"/>
          <w:szCs w:val="32"/>
        </w:rPr>
      </w:pPr>
      <w:r>
        <w:rPr>
          <w:noProof/>
        </w:rPr>
        <w:drawing>
          <wp:inline distT="0" distB="0" distL="0" distR="0" wp14:anchorId="6137F475" wp14:editId="3AAA0944">
            <wp:extent cx="5228590" cy="3733800"/>
            <wp:effectExtent l="0" t="0" r="10160" b="1905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A1B00" w:rsidRPr="00EC5413" w:rsidRDefault="007A1B00" w:rsidP="007A1B00">
      <w:pPr>
        <w:ind w:firstLineChars="200" w:firstLine="643"/>
        <w:rPr>
          <w:rFonts w:ascii="仿宋_GB2312" w:eastAsia="仿宋_GB2312" w:hAnsi="楷体"/>
          <w:b/>
          <w:sz w:val="32"/>
          <w:szCs w:val="32"/>
        </w:rPr>
      </w:pPr>
      <w:r w:rsidRPr="00EC5413">
        <w:rPr>
          <w:rFonts w:ascii="仿宋_GB2312" w:eastAsia="仿宋_GB2312" w:hAnsi="楷体" w:hint="eastAsia"/>
          <w:b/>
          <w:sz w:val="32"/>
          <w:szCs w:val="32"/>
        </w:rPr>
        <w:t>2、行业盈利能力</w:t>
      </w:r>
      <w:r>
        <w:rPr>
          <w:rFonts w:ascii="仿宋_GB2312" w:eastAsia="仿宋_GB2312" w:hAnsi="楷体" w:hint="eastAsia"/>
          <w:b/>
          <w:sz w:val="32"/>
          <w:szCs w:val="32"/>
        </w:rPr>
        <w:t>逐步下滑</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在皮革箱包行业人工成本和原材料成本持续上涨的压力下，行业盈利能力增长乏力，2019上半年度，行业利润总</w:t>
      </w:r>
      <w:r w:rsidRPr="00EC5413">
        <w:rPr>
          <w:rFonts w:ascii="仿宋_GB2312" w:eastAsia="仿宋_GB2312" w:hAnsi="楷体" w:hint="eastAsia"/>
          <w:sz w:val="32"/>
          <w:szCs w:val="32"/>
        </w:rPr>
        <w:lastRenderedPageBreak/>
        <w:t>额为0.28亿元，同比增长为0；企业销售利润率为2.83%，同比下降4.84%；利税总额0.67亿元，同比下降4.29%。</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皮革箱包行业因多数都是加工企业，订单议价能力较弱，在近几年东南亚发展的冲击下，外贸订单利润微薄。但工人工资及原材料却不断上涨，大大挤压了企业的利润空间。</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2019上半年度，宁波市皮革箱包行业从业人员6867人，同比下降1.76%，皮革箱包行业主要都是劳动密集型企业，近几年在人工成本不断上涨，内地劳动者返乡就业等因素的影响下，沿海地区工人越来越难招，年轻劳动力的缺失成了制约沿海地区劳动密集型企业发展的瓶颈。</w:t>
      </w:r>
      <w:proofErr w:type="gramStart"/>
      <w:r w:rsidRPr="00EC5413">
        <w:rPr>
          <w:rFonts w:ascii="仿宋_GB2312" w:eastAsia="仿宋_GB2312" w:hAnsi="楷体" w:hint="eastAsia"/>
          <w:sz w:val="32"/>
          <w:szCs w:val="32"/>
        </w:rPr>
        <w:t>从协会</w:t>
      </w:r>
      <w:proofErr w:type="gramEnd"/>
      <w:r w:rsidRPr="00EC5413">
        <w:rPr>
          <w:rFonts w:ascii="仿宋_GB2312" w:eastAsia="仿宋_GB2312" w:hAnsi="楷体" w:hint="eastAsia"/>
          <w:sz w:val="32"/>
          <w:szCs w:val="32"/>
        </w:rPr>
        <w:t>对企业调研情况来看，有部分企业已经在劳动力充足的省份建厂，或者与这些省份的工厂达成合作，通过这种方式来减少招工难及工资上涨带来的不利影响。针对企业招聘工作，协会通过组织企业参加招聘会，以及从各种渠道为企业发布招聘信息等方面为企业服务。</w:t>
      </w:r>
    </w:p>
    <w:p w:rsidR="007A1B00" w:rsidRPr="00EC5413"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此外协会还鼓励企业积极了解行业先进设备及工艺，引导企业机器换人及两化融合建设，有针对性地开展了考察缝制设备展，对接缝制设备生产企业，引入广东地区较为先进的设计、管理、报价系统的开发企业等活动，以此促进企业提升效益。</w:t>
      </w:r>
    </w:p>
    <w:p w:rsidR="007A1B00" w:rsidRDefault="007A1B00" w:rsidP="007A1B00">
      <w:pPr>
        <w:widowControl/>
        <w:jc w:val="left"/>
        <w:rPr>
          <w:rFonts w:ascii="仿宋" w:eastAsia="仿宋" w:hAnsi="仿宋"/>
          <w:b/>
          <w:sz w:val="32"/>
          <w:szCs w:val="32"/>
        </w:rPr>
      </w:pPr>
      <w:r>
        <w:rPr>
          <w:rFonts w:ascii="仿宋" w:eastAsia="仿宋" w:hAnsi="仿宋"/>
          <w:b/>
          <w:sz w:val="32"/>
          <w:szCs w:val="32"/>
        </w:rPr>
        <w:br w:type="page"/>
      </w:r>
    </w:p>
    <w:p w:rsidR="007A1B00" w:rsidRDefault="007A1B00" w:rsidP="007A1B00">
      <w:pPr>
        <w:ind w:firstLineChars="200" w:firstLine="643"/>
        <w:jc w:val="center"/>
        <w:rPr>
          <w:rFonts w:ascii="仿宋" w:eastAsia="仿宋" w:hAnsi="仿宋"/>
          <w:b/>
          <w:sz w:val="32"/>
          <w:szCs w:val="32"/>
        </w:rPr>
      </w:pPr>
      <w:r>
        <w:rPr>
          <w:rFonts w:ascii="仿宋" w:eastAsia="仿宋" w:hAnsi="仿宋" w:hint="eastAsia"/>
          <w:b/>
          <w:sz w:val="32"/>
          <w:szCs w:val="32"/>
        </w:rPr>
        <w:lastRenderedPageBreak/>
        <w:t>企业盈利能力指标</w:t>
      </w:r>
    </w:p>
    <w:tbl>
      <w:tblPr>
        <w:tblW w:w="8580" w:type="dxa"/>
        <w:tblInd w:w="93" w:type="dxa"/>
        <w:tblLayout w:type="fixed"/>
        <w:tblLook w:val="04A0" w:firstRow="1" w:lastRow="0" w:firstColumn="1" w:lastColumn="0" w:noHBand="0" w:noVBand="1"/>
      </w:tblPr>
      <w:tblGrid>
        <w:gridCol w:w="2240"/>
        <w:gridCol w:w="2440"/>
        <w:gridCol w:w="2300"/>
        <w:gridCol w:w="1600"/>
      </w:tblGrid>
      <w:tr w:rsidR="007A1B00"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经济指标</w:t>
            </w:r>
          </w:p>
        </w:tc>
        <w:tc>
          <w:tcPr>
            <w:tcW w:w="244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16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增加比例</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营业收入</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sz w:val="28"/>
                <w:szCs w:val="28"/>
              </w:rPr>
            </w:pPr>
            <w:r>
              <w:rPr>
                <w:rFonts w:ascii="仿宋_GB2312" w:eastAsia="仿宋_GB2312" w:hint="eastAsia"/>
                <w:sz w:val="28"/>
                <w:szCs w:val="28"/>
              </w:rPr>
              <w:t xml:space="preserve">9.91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sz w:val="28"/>
                <w:szCs w:val="28"/>
              </w:rPr>
            </w:pPr>
            <w:r>
              <w:rPr>
                <w:rFonts w:ascii="仿宋_GB2312" w:eastAsia="仿宋_GB2312" w:hint="eastAsia"/>
                <w:sz w:val="28"/>
                <w:szCs w:val="28"/>
              </w:rPr>
              <w:t xml:space="preserve">9.43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5.09%</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利税总额</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0.67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0.70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-4.29%</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利润总额</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0.28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0.28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0.00%</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销售利润率</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2.83%</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2.97%</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-4.84%</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从业人员（人）</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6867</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6990</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-1.76%</w:t>
            </w:r>
          </w:p>
        </w:tc>
      </w:tr>
    </w:tbl>
    <w:p w:rsidR="007A1B00" w:rsidRDefault="007A1B00" w:rsidP="007A1B00">
      <w:pPr>
        <w:ind w:firstLineChars="200" w:firstLine="420"/>
        <w:jc w:val="center"/>
        <w:rPr>
          <w:rFonts w:ascii="仿宋" w:eastAsia="仿宋" w:hAnsi="仿宋"/>
          <w:b/>
          <w:sz w:val="32"/>
          <w:szCs w:val="32"/>
        </w:rPr>
      </w:pPr>
      <w:r>
        <w:rPr>
          <w:noProof/>
        </w:rPr>
        <w:drawing>
          <wp:inline distT="0" distB="0" distL="0" distR="0" wp14:anchorId="6E580A01" wp14:editId="4284B6CF">
            <wp:extent cx="5238750" cy="3242945"/>
            <wp:effectExtent l="0" t="0" r="19050"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A1B00" w:rsidRPr="00EC5413" w:rsidRDefault="007A1B00" w:rsidP="007A1B00">
      <w:pPr>
        <w:ind w:firstLineChars="200" w:firstLine="643"/>
        <w:rPr>
          <w:rFonts w:ascii="仿宋_GB2312" w:eastAsia="仿宋_GB2312" w:hAnsi="楷体"/>
          <w:b/>
          <w:sz w:val="32"/>
          <w:szCs w:val="32"/>
        </w:rPr>
      </w:pPr>
      <w:r w:rsidRPr="00EC5413">
        <w:rPr>
          <w:rFonts w:ascii="仿宋_GB2312" w:eastAsia="仿宋_GB2312" w:hAnsi="楷体" w:hint="eastAsia"/>
          <w:b/>
          <w:sz w:val="32"/>
          <w:szCs w:val="32"/>
        </w:rPr>
        <w:t>3、行业资产状</w:t>
      </w:r>
      <w:r>
        <w:rPr>
          <w:rFonts w:ascii="仿宋_GB2312" w:eastAsia="仿宋_GB2312" w:hAnsi="楷体" w:hint="eastAsia"/>
          <w:b/>
          <w:sz w:val="32"/>
          <w:szCs w:val="32"/>
        </w:rPr>
        <w:t>况</w:t>
      </w:r>
      <w:r w:rsidRPr="00EC5413">
        <w:rPr>
          <w:rFonts w:ascii="仿宋_GB2312" w:eastAsia="仿宋_GB2312" w:hAnsi="楷体" w:hint="eastAsia"/>
          <w:b/>
          <w:sz w:val="32"/>
          <w:szCs w:val="32"/>
        </w:rPr>
        <w:t>保持平衡</w:t>
      </w:r>
    </w:p>
    <w:p w:rsidR="007A1B00" w:rsidRDefault="007A1B00" w:rsidP="007A1B00">
      <w:pPr>
        <w:ind w:firstLineChars="200" w:firstLine="640"/>
        <w:rPr>
          <w:rFonts w:ascii="仿宋_GB2312" w:eastAsia="仿宋_GB2312" w:hAnsi="楷体"/>
          <w:sz w:val="32"/>
          <w:szCs w:val="32"/>
        </w:rPr>
      </w:pPr>
      <w:r w:rsidRPr="00EC5413">
        <w:rPr>
          <w:rFonts w:ascii="仿宋_GB2312" w:eastAsia="仿宋_GB2312" w:hAnsi="楷体" w:hint="eastAsia"/>
          <w:sz w:val="32"/>
          <w:szCs w:val="32"/>
        </w:rPr>
        <w:t>2019上半年度</w:t>
      </w:r>
      <w:r>
        <w:rPr>
          <w:rFonts w:ascii="仿宋_GB2312" w:eastAsia="仿宋_GB2312" w:hAnsi="楷体" w:hint="eastAsia"/>
          <w:sz w:val="32"/>
          <w:szCs w:val="32"/>
        </w:rPr>
        <w:t>，宁波市皮革箱包行业资产总额17.84亿元，同比增长0.96%；负债总额9.52亿元，同比增长1.71%；净资产8.32亿元，同比增长0.12%； 负债率53.36%，同比增长0.74%。</w:t>
      </w:r>
    </w:p>
    <w:p w:rsidR="007A1B00" w:rsidRDefault="007A1B00" w:rsidP="007A1B00">
      <w:pPr>
        <w:ind w:firstLineChars="200" w:firstLine="640"/>
        <w:rPr>
          <w:rFonts w:ascii="仿宋_GB2312" w:eastAsia="仿宋_GB2312" w:hAnsi="楷体"/>
          <w:sz w:val="32"/>
          <w:szCs w:val="32"/>
        </w:rPr>
      </w:pPr>
      <w:r>
        <w:rPr>
          <w:rFonts w:ascii="仿宋_GB2312" w:eastAsia="仿宋_GB2312" w:hAnsi="楷体" w:hint="eastAsia"/>
          <w:sz w:val="32"/>
          <w:szCs w:val="32"/>
        </w:rPr>
        <w:t>行业资产增长速度趋缓，在当前经济形势下，多数企业</w:t>
      </w:r>
      <w:r>
        <w:rPr>
          <w:rFonts w:ascii="仿宋_GB2312" w:eastAsia="仿宋_GB2312" w:hAnsi="楷体" w:hint="eastAsia"/>
          <w:sz w:val="32"/>
          <w:szCs w:val="32"/>
        </w:rPr>
        <w:lastRenderedPageBreak/>
        <w:t>只能做到尽量保持当前生产规模，今年上半年在宁波投资扩大生产的企业少之又少。</w:t>
      </w:r>
    </w:p>
    <w:p w:rsidR="007A1B00" w:rsidRDefault="007A1B00" w:rsidP="007A1B00">
      <w:pPr>
        <w:jc w:val="center"/>
        <w:rPr>
          <w:rFonts w:ascii="仿宋_GB2312" w:eastAsia="仿宋_GB2312" w:hAnsi="楷体"/>
          <w:b/>
          <w:sz w:val="32"/>
          <w:szCs w:val="32"/>
        </w:rPr>
      </w:pPr>
      <w:r>
        <w:rPr>
          <w:rFonts w:ascii="仿宋_GB2312" w:eastAsia="仿宋_GB2312" w:hAnsi="楷体" w:hint="eastAsia"/>
          <w:b/>
          <w:sz w:val="32"/>
          <w:szCs w:val="32"/>
        </w:rPr>
        <w:t>行业资产状况指标</w:t>
      </w:r>
    </w:p>
    <w:tbl>
      <w:tblPr>
        <w:tblW w:w="8580" w:type="dxa"/>
        <w:tblInd w:w="93" w:type="dxa"/>
        <w:tblLayout w:type="fixed"/>
        <w:tblLook w:val="04A0" w:firstRow="1" w:lastRow="0" w:firstColumn="1" w:lastColumn="0" w:noHBand="0" w:noVBand="1"/>
      </w:tblPr>
      <w:tblGrid>
        <w:gridCol w:w="2240"/>
        <w:gridCol w:w="2440"/>
        <w:gridCol w:w="2300"/>
        <w:gridCol w:w="1600"/>
      </w:tblGrid>
      <w:tr w:rsidR="007A1B00"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经济指标</w:t>
            </w:r>
          </w:p>
        </w:tc>
        <w:tc>
          <w:tcPr>
            <w:tcW w:w="244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16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增长比例</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资产总额</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17.84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17.67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0.96%</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负债总额</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9.52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9.36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1.71%</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净资产</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8.32 </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 xml:space="preserve">8.31 </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0.12%</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负债率</w:t>
            </w:r>
          </w:p>
        </w:tc>
        <w:tc>
          <w:tcPr>
            <w:tcW w:w="244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53.36%</w:t>
            </w:r>
          </w:p>
        </w:tc>
        <w:tc>
          <w:tcPr>
            <w:tcW w:w="23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52.97%</w:t>
            </w:r>
          </w:p>
        </w:tc>
        <w:tc>
          <w:tcPr>
            <w:tcW w:w="1600" w:type="dxa"/>
            <w:tcBorders>
              <w:top w:val="nil"/>
              <w:left w:val="nil"/>
              <w:bottom w:val="single" w:sz="4" w:space="0" w:color="auto"/>
              <w:right w:val="single" w:sz="4" w:space="0" w:color="auto"/>
            </w:tcBorders>
            <w:shd w:val="clear" w:color="auto" w:fill="auto"/>
            <w:vAlign w:val="center"/>
          </w:tcPr>
          <w:p w:rsidR="007A1B00" w:rsidRDefault="007A1B00" w:rsidP="005B500E">
            <w:pPr>
              <w:jc w:val="center"/>
              <w:rPr>
                <w:rFonts w:ascii="仿宋_GB2312" w:eastAsia="仿宋_GB2312" w:hAnsi="宋体" w:cs="宋体"/>
                <w:color w:val="000000"/>
                <w:sz w:val="28"/>
                <w:szCs w:val="28"/>
              </w:rPr>
            </w:pPr>
            <w:r>
              <w:rPr>
                <w:rFonts w:ascii="仿宋_GB2312" w:eastAsia="仿宋_GB2312" w:hint="eastAsia"/>
                <w:color w:val="000000"/>
                <w:sz w:val="28"/>
                <w:szCs w:val="28"/>
              </w:rPr>
              <w:t>0.74%</w:t>
            </w:r>
          </w:p>
        </w:tc>
      </w:tr>
    </w:tbl>
    <w:p w:rsidR="007A1B00" w:rsidRDefault="007A1B00" w:rsidP="007A1B00">
      <w:pPr>
        <w:jc w:val="center"/>
        <w:rPr>
          <w:rFonts w:ascii="仿宋_GB2312" w:eastAsia="仿宋_GB2312" w:hAnsi="楷体"/>
          <w:b/>
          <w:sz w:val="32"/>
          <w:szCs w:val="32"/>
        </w:rPr>
      </w:pPr>
      <w:r>
        <w:rPr>
          <w:noProof/>
        </w:rPr>
        <w:drawing>
          <wp:inline distT="0" distB="0" distL="0" distR="0" wp14:anchorId="48C9633E" wp14:editId="70F10A93">
            <wp:extent cx="5267325" cy="3300095"/>
            <wp:effectExtent l="0" t="0" r="9525" b="146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1B00" w:rsidRPr="00EC5413" w:rsidRDefault="007A1B00" w:rsidP="007A1B00">
      <w:pPr>
        <w:ind w:firstLineChars="200" w:firstLine="643"/>
        <w:rPr>
          <w:rFonts w:ascii="仿宋_GB2312" w:eastAsia="仿宋_GB2312" w:hAnsi="楷体"/>
          <w:b/>
          <w:sz w:val="32"/>
          <w:szCs w:val="32"/>
        </w:rPr>
      </w:pPr>
      <w:r w:rsidRPr="00EC5413">
        <w:rPr>
          <w:rFonts w:ascii="仿宋_GB2312" w:eastAsia="仿宋_GB2312" w:hAnsi="楷体" w:hint="eastAsia"/>
          <w:b/>
          <w:sz w:val="32"/>
          <w:szCs w:val="32"/>
        </w:rPr>
        <w:t>4、行业设备改造及研发情况</w:t>
      </w:r>
    </w:p>
    <w:p w:rsidR="007A1B00" w:rsidRDefault="007A1B00" w:rsidP="007A1B00">
      <w:pPr>
        <w:ind w:firstLineChars="200" w:firstLine="640"/>
        <w:rPr>
          <w:rFonts w:ascii="仿宋_GB2312" w:eastAsia="仿宋_GB2312" w:hAnsi="楷体"/>
          <w:sz w:val="32"/>
          <w:szCs w:val="32"/>
        </w:rPr>
      </w:pPr>
      <w:r w:rsidRPr="00470EB4">
        <w:rPr>
          <w:rFonts w:ascii="仿宋_GB2312" w:eastAsia="仿宋_GB2312" w:hAnsi="楷体" w:hint="eastAsia"/>
          <w:sz w:val="32"/>
          <w:szCs w:val="32"/>
        </w:rPr>
        <w:t>经过对企业设备改造及研发支出情况的调研，2019上半年度有这方面数据的企业有1</w:t>
      </w:r>
      <w:r>
        <w:rPr>
          <w:rFonts w:ascii="仿宋_GB2312" w:eastAsia="仿宋_GB2312" w:hAnsi="楷体" w:hint="eastAsia"/>
          <w:sz w:val="32"/>
          <w:szCs w:val="32"/>
        </w:rPr>
        <w:t>8</w:t>
      </w:r>
      <w:r w:rsidRPr="00470EB4">
        <w:rPr>
          <w:rFonts w:ascii="仿宋_GB2312" w:eastAsia="仿宋_GB2312" w:hAnsi="楷体" w:hint="eastAsia"/>
          <w:sz w:val="32"/>
          <w:szCs w:val="32"/>
        </w:rPr>
        <w:t>家，2019上半年度设备改造及研发支出总共0.</w:t>
      </w:r>
      <w:r>
        <w:rPr>
          <w:rFonts w:ascii="仿宋_GB2312" w:eastAsia="仿宋_GB2312" w:hAnsi="楷体" w:hint="eastAsia"/>
          <w:sz w:val="32"/>
          <w:szCs w:val="32"/>
        </w:rPr>
        <w:t>78</w:t>
      </w:r>
      <w:r w:rsidRPr="00470EB4">
        <w:rPr>
          <w:rFonts w:ascii="仿宋_GB2312" w:eastAsia="仿宋_GB2312" w:hAnsi="楷体" w:hint="eastAsia"/>
          <w:sz w:val="32"/>
          <w:szCs w:val="32"/>
        </w:rPr>
        <w:t>亿元，同比增长</w:t>
      </w:r>
      <w:r>
        <w:rPr>
          <w:rFonts w:ascii="仿宋_GB2312" w:eastAsia="仿宋_GB2312" w:hAnsi="楷体" w:hint="eastAsia"/>
          <w:sz w:val="32"/>
          <w:szCs w:val="32"/>
        </w:rPr>
        <w:t>21.88</w:t>
      </w:r>
      <w:r w:rsidRPr="00470EB4">
        <w:rPr>
          <w:rFonts w:ascii="仿宋_GB2312" w:eastAsia="仿宋_GB2312" w:hAnsi="楷体" w:hint="eastAsia"/>
          <w:sz w:val="32"/>
          <w:szCs w:val="32"/>
        </w:rPr>
        <w:t>%</w:t>
      </w:r>
      <w:r>
        <w:rPr>
          <w:rFonts w:ascii="仿宋_GB2312" w:eastAsia="仿宋_GB2312" w:hAnsi="楷体" w:hint="eastAsia"/>
          <w:sz w:val="32"/>
          <w:szCs w:val="32"/>
        </w:rPr>
        <w:t>，</w:t>
      </w:r>
      <w:r w:rsidRPr="00470EB4">
        <w:rPr>
          <w:rFonts w:ascii="仿宋_GB2312" w:eastAsia="仿宋_GB2312" w:hAnsi="楷体" w:hint="eastAsia"/>
          <w:sz w:val="32"/>
          <w:szCs w:val="32"/>
        </w:rPr>
        <w:t>增长速度较</w:t>
      </w:r>
      <w:r>
        <w:rPr>
          <w:rFonts w:ascii="仿宋_GB2312" w:eastAsia="仿宋_GB2312" w:hAnsi="楷体" w:hint="eastAsia"/>
          <w:sz w:val="32"/>
          <w:szCs w:val="32"/>
        </w:rPr>
        <w:t>快。虽然现在皮革箱包行业最新的缝制设备自动化程度还较</w:t>
      </w:r>
      <w:r>
        <w:rPr>
          <w:rFonts w:ascii="仿宋_GB2312" w:eastAsia="仿宋_GB2312" w:hAnsi="楷体" w:hint="eastAsia"/>
          <w:sz w:val="32"/>
          <w:szCs w:val="32"/>
        </w:rPr>
        <w:lastRenderedPageBreak/>
        <w:t>低，但受招工难及人员成本的上涨，一些企业对于尝试新设备的积极性较高，从全国来看，我市皮革箱包企业所用设备自动化程度也处于前列。</w:t>
      </w:r>
    </w:p>
    <w:p w:rsidR="007A1B00" w:rsidRPr="00470EB4" w:rsidRDefault="007A1B00" w:rsidP="007A1B00">
      <w:pPr>
        <w:ind w:firstLineChars="200" w:firstLine="640"/>
        <w:rPr>
          <w:rFonts w:ascii="仿宋_GB2312" w:eastAsia="仿宋_GB2312" w:hAnsi="楷体"/>
          <w:sz w:val="32"/>
          <w:szCs w:val="32"/>
        </w:rPr>
      </w:pPr>
      <w:r>
        <w:rPr>
          <w:rFonts w:ascii="仿宋_GB2312" w:eastAsia="仿宋_GB2312" w:hAnsi="楷体" w:hint="eastAsia"/>
          <w:sz w:val="32"/>
          <w:szCs w:val="32"/>
        </w:rPr>
        <w:t>从企业数量来</w:t>
      </w:r>
      <w:r w:rsidRPr="00470EB4">
        <w:rPr>
          <w:rFonts w:ascii="仿宋_GB2312" w:eastAsia="仿宋_GB2312" w:hAnsi="楷体" w:hint="eastAsia"/>
          <w:sz w:val="32"/>
          <w:szCs w:val="32"/>
        </w:rPr>
        <w:t>看，有研发投入的企业只占此次统计企业的</w:t>
      </w:r>
      <w:r>
        <w:rPr>
          <w:rFonts w:ascii="仿宋_GB2312" w:eastAsia="仿宋_GB2312" w:hAnsi="楷体" w:hint="eastAsia"/>
          <w:sz w:val="32"/>
          <w:szCs w:val="32"/>
        </w:rPr>
        <w:t>18</w:t>
      </w:r>
      <w:r w:rsidRPr="00470EB4">
        <w:rPr>
          <w:rFonts w:ascii="仿宋_GB2312" w:eastAsia="仿宋_GB2312" w:hAnsi="楷体" w:hint="eastAsia"/>
          <w:sz w:val="32"/>
          <w:szCs w:val="32"/>
        </w:rPr>
        <w:t>%</w:t>
      </w:r>
      <w:r>
        <w:rPr>
          <w:rFonts w:ascii="仿宋_GB2312" w:eastAsia="仿宋_GB2312" w:hAnsi="楷体" w:hint="eastAsia"/>
          <w:sz w:val="32"/>
          <w:szCs w:val="32"/>
        </w:rPr>
        <w:t>，数量相对较少，由此看出，一大部分的企业还是以订单加工为主，没有自己的创新设计。行业的时尚化程度还有待提升。</w:t>
      </w:r>
    </w:p>
    <w:p w:rsidR="007A1B00" w:rsidRPr="00EC5413" w:rsidRDefault="007A1B00" w:rsidP="007A1B00">
      <w:pPr>
        <w:ind w:firstLineChars="200" w:firstLine="643"/>
        <w:rPr>
          <w:rFonts w:ascii="仿宋_GB2312" w:eastAsia="仿宋_GB2312" w:hAnsi="楷体"/>
          <w:b/>
          <w:sz w:val="32"/>
          <w:szCs w:val="32"/>
        </w:rPr>
      </w:pPr>
      <w:r w:rsidRPr="00EC5413">
        <w:rPr>
          <w:rFonts w:ascii="仿宋_GB2312" w:eastAsia="仿宋_GB2312" w:hAnsi="楷体" w:hint="eastAsia"/>
          <w:b/>
          <w:sz w:val="32"/>
          <w:szCs w:val="32"/>
        </w:rPr>
        <w:t>5、行业电子商务发展情况</w:t>
      </w:r>
    </w:p>
    <w:p w:rsidR="007A1B00" w:rsidRDefault="007A1B00" w:rsidP="007A1B00">
      <w:pPr>
        <w:ind w:firstLineChars="200" w:firstLine="640"/>
        <w:rPr>
          <w:rFonts w:ascii="仿宋_GB2312" w:eastAsia="仿宋_GB2312" w:hAnsi="楷体"/>
          <w:sz w:val="32"/>
          <w:szCs w:val="32"/>
        </w:rPr>
      </w:pPr>
      <w:r w:rsidRPr="00470EB4">
        <w:rPr>
          <w:rFonts w:ascii="仿宋_GB2312" w:eastAsia="仿宋_GB2312" w:hAnsi="楷体" w:hint="eastAsia"/>
          <w:sz w:val="32"/>
          <w:szCs w:val="32"/>
        </w:rPr>
        <w:t>宁波市皮革箱包行业</w:t>
      </w:r>
      <w:r>
        <w:rPr>
          <w:rFonts w:ascii="仿宋_GB2312" w:eastAsia="仿宋_GB2312" w:hAnsi="楷体" w:hint="eastAsia"/>
          <w:sz w:val="32"/>
          <w:szCs w:val="32"/>
        </w:rPr>
        <w:t>通过</w:t>
      </w:r>
      <w:r w:rsidRPr="00470EB4">
        <w:rPr>
          <w:rFonts w:ascii="仿宋_GB2312" w:eastAsia="仿宋_GB2312" w:hAnsi="楷体" w:hint="eastAsia"/>
          <w:sz w:val="32"/>
          <w:szCs w:val="32"/>
        </w:rPr>
        <w:t>电</w:t>
      </w:r>
      <w:proofErr w:type="gramStart"/>
      <w:r w:rsidRPr="00470EB4">
        <w:rPr>
          <w:rFonts w:ascii="仿宋_GB2312" w:eastAsia="仿宋_GB2312" w:hAnsi="楷体" w:hint="eastAsia"/>
          <w:sz w:val="32"/>
          <w:szCs w:val="32"/>
        </w:rPr>
        <w:t>商渠道</w:t>
      </w:r>
      <w:proofErr w:type="gramEnd"/>
      <w:r w:rsidRPr="00470EB4">
        <w:rPr>
          <w:rFonts w:ascii="仿宋_GB2312" w:eastAsia="仿宋_GB2312" w:hAnsi="楷体" w:hint="eastAsia"/>
          <w:sz w:val="32"/>
          <w:szCs w:val="32"/>
        </w:rPr>
        <w:t>销售的产品主要是箱包和鞋，2019上半年度</w:t>
      </w:r>
      <w:r>
        <w:rPr>
          <w:rFonts w:ascii="仿宋_GB2312" w:eastAsia="仿宋_GB2312" w:hAnsi="楷体" w:hint="eastAsia"/>
          <w:sz w:val="32"/>
          <w:szCs w:val="32"/>
        </w:rPr>
        <w:t>皮革箱包</w:t>
      </w:r>
      <w:proofErr w:type="gramStart"/>
      <w:r>
        <w:rPr>
          <w:rFonts w:ascii="仿宋_GB2312" w:eastAsia="仿宋_GB2312" w:hAnsi="楷体" w:hint="eastAsia"/>
          <w:sz w:val="32"/>
          <w:szCs w:val="32"/>
        </w:rPr>
        <w:t>行业</w:t>
      </w:r>
      <w:r w:rsidRPr="00470EB4">
        <w:rPr>
          <w:rFonts w:ascii="仿宋_GB2312" w:eastAsia="仿宋_GB2312" w:hAnsi="楷体" w:hint="eastAsia"/>
          <w:sz w:val="32"/>
          <w:szCs w:val="32"/>
        </w:rPr>
        <w:t>电商渠道</w:t>
      </w:r>
      <w:proofErr w:type="gramEnd"/>
      <w:r w:rsidRPr="00470EB4">
        <w:rPr>
          <w:rFonts w:ascii="仿宋_GB2312" w:eastAsia="仿宋_GB2312" w:hAnsi="楷体" w:hint="eastAsia"/>
          <w:sz w:val="32"/>
          <w:szCs w:val="32"/>
        </w:rPr>
        <w:t>销售额为0.</w:t>
      </w:r>
      <w:r>
        <w:rPr>
          <w:rFonts w:ascii="仿宋_GB2312" w:eastAsia="仿宋_GB2312" w:hAnsi="楷体" w:hint="eastAsia"/>
          <w:sz w:val="32"/>
          <w:szCs w:val="32"/>
        </w:rPr>
        <w:t>79亿元，同比下降1.25</w:t>
      </w:r>
      <w:r w:rsidRPr="00470EB4">
        <w:rPr>
          <w:rFonts w:ascii="仿宋_GB2312" w:eastAsia="仿宋_GB2312" w:hAnsi="楷体" w:hint="eastAsia"/>
          <w:sz w:val="32"/>
          <w:szCs w:val="32"/>
        </w:rPr>
        <w:t>%。</w:t>
      </w:r>
      <w:r>
        <w:rPr>
          <w:rFonts w:ascii="仿宋_GB2312" w:eastAsia="仿宋_GB2312" w:hAnsi="楷体" w:hint="eastAsia"/>
          <w:sz w:val="32"/>
          <w:szCs w:val="32"/>
        </w:rPr>
        <w:t>从走访中了解到，各</w:t>
      </w:r>
      <w:proofErr w:type="gramStart"/>
      <w:r>
        <w:rPr>
          <w:rFonts w:ascii="仿宋_GB2312" w:eastAsia="仿宋_GB2312" w:hAnsi="楷体" w:hint="eastAsia"/>
          <w:sz w:val="32"/>
          <w:szCs w:val="32"/>
        </w:rPr>
        <w:t>企业电</w:t>
      </w:r>
      <w:proofErr w:type="gramEnd"/>
      <w:r>
        <w:rPr>
          <w:rFonts w:ascii="仿宋_GB2312" w:eastAsia="仿宋_GB2312" w:hAnsi="楷体" w:hint="eastAsia"/>
          <w:sz w:val="32"/>
          <w:szCs w:val="32"/>
        </w:rPr>
        <w:t>商销售主要是</w:t>
      </w:r>
      <w:proofErr w:type="gramStart"/>
      <w:r>
        <w:rPr>
          <w:rFonts w:ascii="仿宋_GB2312" w:eastAsia="仿宋_GB2312" w:hAnsi="楷体" w:hint="eastAsia"/>
          <w:sz w:val="32"/>
          <w:szCs w:val="32"/>
        </w:rPr>
        <w:t>在淘宝和</w:t>
      </w:r>
      <w:proofErr w:type="gramEnd"/>
      <w:r>
        <w:rPr>
          <w:rFonts w:ascii="仿宋_GB2312" w:eastAsia="仿宋_GB2312" w:hAnsi="楷体" w:hint="eastAsia"/>
          <w:sz w:val="32"/>
          <w:szCs w:val="32"/>
        </w:rPr>
        <w:t>京东量大平台，随着电商的发展，平台上产品同质化程度很高，近年来大众化的产品利润越来越薄弱，也让一些企业对电商零售的模式失去了信心。但也有一些较有特色的产品通过电</w:t>
      </w:r>
      <w:proofErr w:type="gramStart"/>
      <w:r>
        <w:rPr>
          <w:rFonts w:ascii="仿宋_GB2312" w:eastAsia="仿宋_GB2312" w:hAnsi="楷体" w:hint="eastAsia"/>
          <w:sz w:val="32"/>
          <w:szCs w:val="32"/>
        </w:rPr>
        <w:t>商渠道</w:t>
      </w:r>
      <w:proofErr w:type="gramEnd"/>
      <w:r>
        <w:rPr>
          <w:rFonts w:ascii="仿宋_GB2312" w:eastAsia="仿宋_GB2312" w:hAnsi="楷体" w:hint="eastAsia"/>
          <w:sz w:val="32"/>
          <w:szCs w:val="32"/>
        </w:rPr>
        <w:t>打开了市场，培养了稳定的消费群体。上半年还不到各大电商平台的促销季节，相信在下半年应该会有一定的增长。</w:t>
      </w:r>
    </w:p>
    <w:p w:rsidR="007A1B00" w:rsidRPr="00EC5413" w:rsidRDefault="007A1B00" w:rsidP="007A1B00">
      <w:pPr>
        <w:ind w:firstLineChars="200" w:firstLine="643"/>
        <w:rPr>
          <w:rFonts w:ascii="仿宋_GB2312" w:eastAsia="仿宋_GB2312" w:hAnsi="楷体"/>
          <w:b/>
          <w:sz w:val="32"/>
          <w:szCs w:val="32"/>
        </w:rPr>
      </w:pPr>
      <w:r w:rsidRPr="00EC5413">
        <w:rPr>
          <w:rFonts w:ascii="仿宋_GB2312" w:eastAsia="仿宋_GB2312" w:hAnsi="楷体" w:hint="eastAsia"/>
          <w:b/>
          <w:sz w:val="32"/>
          <w:szCs w:val="32"/>
        </w:rPr>
        <w:t>6、细分行业情况</w:t>
      </w:r>
    </w:p>
    <w:p w:rsidR="007A1B00" w:rsidRDefault="007A1B00" w:rsidP="007A1B00">
      <w:pPr>
        <w:ind w:firstLineChars="200" w:firstLine="640"/>
        <w:rPr>
          <w:rFonts w:ascii="仿宋_GB2312" w:eastAsia="仿宋_GB2312" w:hAnsi="楷体"/>
          <w:sz w:val="32"/>
          <w:szCs w:val="32"/>
        </w:rPr>
      </w:pPr>
      <w:r>
        <w:rPr>
          <w:rFonts w:ascii="仿宋_GB2312" w:eastAsia="仿宋_GB2312" w:hAnsi="楷体" w:hint="eastAsia"/>
          <w:sz w:val="32"/>
          <w:szCs w:val="32"/>
        </w:rPr>
        <w:t>此次统计调研的企业主要分为箱包业、制鞋业、皮革化工业、合成革业及其他。其中，箱包业</w:t>
      </w:r>
      <w:r>
        <w:rPr>
          <w:rFonts w:ascii="仿宋" w:eastAsia="仿宋" w:hAnsi="仿宋" w:hint="eastAsia"/>
          <w:sz w:val="32"/>
          <w:szCs w:val="32"/>
        </w:rPr>
        <w:t>2019上半年度</w:t>
      </w:r>
      <w:r>
        <w:rPr>
          <w:rFonts w:ascii="仿宋_GB2312" w:eastAsia="仿宋_GB2312" w:hAnsi="楷体" w:hint="eastAsia"/>
          <w:sz w:val="32"/>
          <w:szCs w:val="32"/>
        </w:rPr>
        <w:t>产值占整个行业的60.67%，合成革业占9.88%，皮革化工业占11.74%，制鞋业占11.25%，其他为6.46%。箱包业企业数量</w:t>
      </w:r>
      <w:r>
        <w:rPr>
          <w:rFonts w:ascii="仿宋_GB2312" w:eastAsia="仿宋_GB2312" w:hAnsi="楷体" w:hint="eastAsia"/>
          <w:sz w:val="32"/>
          <w:szCs w:val="32"/>
        </w:rPr>
        <w:lastRenderedPageBreak/>
        <w:t>以及产值都是在我市皮革行业细分产业中的第一位，且是我市时尚产业发展的重要组成部分。</w:t>
      </w:r>
    </w:p>
    <w:p w:rsidR="007A1B00" w:rsidRDefault="007A1B00" w:rsidP="007A1B00">
      <w:pPr>
        <w:jc w:val="center"/>
        <w:rPr>
          <w:rFonts w:ascii="仿宋_GB2312" w:eastAsia="仿宋_GB2312" w:hAnsi="楷体"/>
          <w:b/>
          <w:sz w:val="32"/>
          <w:szCs w:val="32"/>
        </w:rPr>
      </w:pPr>
      <w:r>
        <w:rPr>
          <w:rFonts w:ascii="仿宋_GB2312" w:eastAsia="仿宋_GB2312" w:hAnsi="楷体" w:hint="eastAsia"/>
          <w:b/>
          <w:sz w:val="32"/>
          <w:szCs w:val="32"/>
        </w:rPr>
        <w:t>2019上半年度各细分行业产值占比</w:t>
      </w:r>
    </w:p>
    <w:tbl>
      <w:tblPr>
        <w:tblW w:w="6980" w:type="dxa"/>
        <w:jc w:val="center"/>
        <w:tblInd w:w="93" w:type="dxa"/>
        <w:tblLayout w:type="fixed"/>
        <w:tblLook w:val="04A0" w:firstRow="1" w:lastRow="0" w:firstColumn="1" w:lastColumn="0" w:noHBand="0" w:noVBand="1"/>
      </w:tblPr>
      <w:tblGrid>
        <w:gridCol w:w="2240"/>
        <w:gridCol w:w="2440"/>
        <w:gridCol w:w="2300"/>
      </w:tblGrid>
      <w:tr w:rsidR="007A1B00" w:rsidTr="005B500E">
        <w:trPr>
          <w:trHeight w:val="375"/>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行业细分</w:t>
            </w:r>
          </w:p>
        </w:tc>
        <w:tc>
          <w:tcPr>
            <w:tcW w:w="244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2300" w:type="dxa"/>
            <w:tcBorders>
              <w:top w:val="single" w:sz="4" w:space="0" w:color="auto"/>
              <w:left w:val="nil"/>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所占比例</w:t>
            </w:r>
          </w:p>
        </w:tc>
      </w:tr>
      <w:tr w:rsidR="007A1B00"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箱包</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6.2</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60.67%</w:t>
            </w:r>
          </w:p>
        </w:tc>
      </w:tr>
      <w:tr w:rsidR="007A1B00"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制鞋</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1.15</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11.25%</w:t>
            </w:r>
          </w:p>
        </w:tc>
      </w:tr>
      <w:tr w:rsidR="007A1B00"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皮革化工</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1.2</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11.74%</w:t>
            </w:r>
          </w:p>
        </w:tc>
      </w:tr>
      <w:tr w:rsidR="007A1B00"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合成革</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1.01</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9.88%</w:t>
            </w:r>
          </w:p>
        </w:tc>
      </w:tr>
      <w:tr w:rsidR="007A1B00" w:rsidTr="005B500E">
        <w:trPr>
          <w:trHeight w:val="375"/>
          <w:jc w:val="center"/>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其他</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 xml:space="preserve">0.66 </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6.46%</w:t>
            </w:r>
          </w:p>
        </w:tc>
      </w:tr>
    </w:tbl>
    <w:p w:rsidR="007A1B00" w:rsidRDefault="007A1B00" w:rsidP="007A1B00">
      <w:pPr>
        <w:jc w:val="center"/>
        <w:rPr>
          <w:rFonts w:ascii="仿宋_GB2312" w:eastAsia="仿宋_GB2312" w:hAnsi="楷体"/>
          <w:b/>
          <w:sz w:val="32"/>
          <w:szCs w:val="32"/>
        </w:rPr>
      </w:pPr>
      <w:r>
        <w:rPr>
          <w:noProof/>
        </w:rPr>
        <w:drawing>
          <wp:inline distT="0" distB="0" distL="0" distR="0" wp14:anchorId="6899364F" wp14:editId="58C571E7">
            <wp:extent cx="4572000" cy="3362326"/>
            <wp:effectExtent l="0" t="0" r="19050" b="952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1B00" w:rsidRDefault="007A1B00" w:rsidP="007A1B00">
      <w:pPr>
        <w:ind w:firstLineChars="200" w:firstLine="640"/>
        <w:rPr>
          <w:rFonts w:ascii="仿宋_GB2312" w:eastAsia="仿宋_GB2312" w:hAnsi="楷体"/>
          <w:sz w:val="32"/>
          <w:szCs w:val="32"/>
        </w:rPr>
      </w:pPr>
      <w:r>
        <w:rPr>
          <w:rFonts w:ascii="仿宋_GB2312" w:eastAsia="仿宋_GB2312" w:hAnsi="楷体" w:hint="eastAsia"/>
          <w:sz w:val="32"/>
          <w:szCs w:val="32"/>
        </w:rPr>
        <w:t>从各细分行业产值增长情况来看，箱包业</w:t>
      </w:r>
      <w:r>
        <w:rPr>
          <w:rFonts w:ascii="仿宋" w:eastAsia="仿宋" w:hAnsi="仿宋" w:hint="eastAsia"/>
          <w:sz w:val="32"/>
          <w:szCs w:val="32"/>
        </w:rPr>
        <w:t>2019上半年度</w:t>
      </w:r>
      <w:r>
        <w:rPr>
          <w:rFonts w:ascii="仿宋_GB2312" w:eastAsia="仿宋_GB2312" w:hAnsi="楷体" w:hint="eastAsia"/>
          <w:sz w:val="32"/>
          <w:szCs w:val="32"/>
        </w:rPr>
        <w:t>产值6.2亿元，同比增长1.64%；制鞋业产值1.15亿元，同比增长4.55%；皮革化工业产值1.2亿元，同比增长0.84%；合成革业产值1.01亿元，同比增长3.06%。</w:t>
      </w:r>
    </w:p>
    <w:p w:rsidR="007A1B00" w:rsidRDefault="007A1B00" w:rsidP="007A1B00">
      <w:pPr>
        <w:ind w:firstLineChars="200" w:firstLine="640"/>
        <w:rPr>
          <w:rFonts w:ascii="仿宋_GB2312" w:eastAsia="仿宋_GB2312" w:hAnsi="楷体"/>
          <w:sz w:val="32"/>
          <w:szCs w:val="32"/>
        </w:rPr>
      </w:pPr>
      <w:r>
        <w:rPr>
          <w:rFonts w:ascii="仿宋" w:eastAsia="仿宋" w:hAnsi="仿宋" w:hint="eastAsia"/>
          <w:sz w:val="32"/>
          <w:szCs w:val="32"/>
        </w:rPr>
        <w:lastRenderedPageBreak/>
        <w:t>2019上半年度</w:t>
      </w:r>
      <w:r>
        <w:rPr>
          <w:rFonts w:ascii="仿宋_GB2312" w:eastAsia="仿宋_GB2312" w:hAnsi="楷体" w:hint="eastAsia"/>
          <w:sz w:val="32"/>
          <w:szCs w:val="32"/>
        </w:rPr>
        <w:t>，箱包业增长缓慢，制鞋业和皮革化工业小幅增长，合成革业保持微弱的增长态势。结合实际情况来看，我市箱包业80%以上的企业都以出口为主，普遍受到中美贸易摩擦影响；皮革化工业，近两年受环保影响较大，较小的工厂有些因此接近停产，行业上半年受原材料上涨影及下游相关产业不景气影响，发展较小；合成革</w:t>
      </w:r>
      <w:proofErr w:type="gramStart"/>
      <w:r>
        <w:rPr>
          <w:rFonts w:ascii="仿宋_GB2312" w:eastAsia="仿宋_GB2312" w:hAnsi="楷体" w:hint="eastAsia"/>
          <w:sz w:val="32"/>
          <w:szCs w:val="32"/>
        </w:rPr>
        <w:t>业现在</w:t>
      </w:r>
      <w:proofErr w:type="gramEnd"/>
      <w:r>
        <w:rPr>
          <w:rFonts w:ascii="仿宋_GB2312" w:eastAsia="仿宋_GB2312" w:hAnsi="楷体" w:hint="eastAsia"/>
          <w:sz w:val="32"/>
          <w:szCs w:val="32"/>
        </w:rPr>
        <w:t>环保要求较高，但规模较大的企业十分注重新产品研发，取得不错的成效；制鞋行业中规模较大的都是内销企业，受中美贸易摩擦影响较小，上半年产值保持了小幅增长。</w:t>
      </w:r>
    </w:p>
    <w:p w:rsidR="007A1B00" w:rsidRDefault="007A1B00" w:rsidP="007A1B00">
      <w:pPr>
        <w:ind w:firstLineChars="200" w:firstLine="643"/>
        <w:jc w:val="center"/>
        <w:rPr>
          <w:rFonts w:ascii="仿宋_GB2312" w:eastAsia="仿宋_GB2312" w:hAnsi="楷体"/>
          <w:b/>
          <w:sz w:val="32"/>
          <w:szCs w:val="32"/>
        </w:rPr>
      </w:pPr>
      <w:r>
        <w:rPr>
          <w:rFonts w:ascii="仿宋_GB2312" w:eastAsia="仿宋_GB2312" w:hAnsi="楷体" w:hint="eastAsia"/>
          <w:b/>
          <w:sz w:val="32"/>
          <w:szCs w:val="32"/>
        </w:rPr>
        <w:t>细分行业产值增长情况</w:t>
      </w:r>
    </w:p>
    <w:tbl>
      <w:tblPr>
        <w:tblW w:w="8580" w:type="dxa"/>
        <w:tblInd w:w="93" w:type="dxa"/>
        <w:tblLayout w:type="fixed"/>
        <w:tblLook w:val="04A0" w:firstRow="1" w:lastRow="0" w:firstColumn="1" w:lastColumn="0" w:noHBand="0" w:noVBand="1"/>
      </w:tblPr>
      <w:tblGrid>
        <w:gridCol w:w="2240"/>
        <w:gridCol w:w="2440"/>
        <w:gridCol w:w="2300"/>
        <w:gridCol w:w="1600"/>
      </w:tblGrid>
      <w:tr w:rsidR="007A1B00" w:rsidTr="005B500E">
        <w:trPr>
          <w:trHeight w:val="375"/>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细分行业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2019</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2300" w:type="dxa"/>
            <w:tcBorders>
              <w:top w:val="single" w:sz="4" w:space="0" w:color="auto"/>
              <w:left w:val="nil"/>
              <w:bottom w:val="single" w:sz="4" w:space="0" w:color="auto"/>
              <w:right w:val="single" w:sz="4" w:space="0" w:color="auto"/>
            </w:tcBorders>
            <w:shd w:val="clear" w:color="auto" w:fill="auto"/>
            <w:vAlign w:val="center"/>
          </w:tcPr>
          <w:p w:rsidR="007A1B00" w:rsidRDefault="007A1B00" w:rsidP="005B500E">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2018</w:t>
            </w:r>
            <w:r>
              <w:rPr>
                <w:rFonts w:ascii="仿宋" w:eastAsia="仿宋" w:hAnsi="仿宋" w:hint="eastAsia"/>
                <w:b/>
                <w:sz w:val="32"/>
                <w:szCs w:val="32"/>
              </w:rPr>
              <w:t>上半年</w:t>
            </w:r>
            <w:r>
              <w:rPr>
                <w:rFonts w:ascii="仿宋_GB2312" w:eastAsia="仿宋_GB2312" w:hAnsi="宋体" w:cs="宋体" w:hint="eastAsia"/>
                <w:b/>
                <w:bCs/>
                <w:color w:val="000000"/>
                <w:kern w:val="0"/>
                <w:sz w:val="28"/>
                <w:szCs w:val="28"/>
              </w:rPr>
              <w:t>度</w:t>
            </w:r>
          </w:p>
        </w:tc>
        <w:tc>
          <w:tcPr>
            <w:tcW w:w="1600" w:type="dxa"/>
            <w:tcBorders>
              <w:top w:val="single" w:sz="4" w:space="0" w:color="auto"/>
              <w:left w:val="nil"/>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增长比例</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箱包</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6.2</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6.1</w:t>
            </w:r>
          </w:p>
        </w:tc>
        <w:tc>
          <w:tcPr>
            <w:tcW w:w="16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1.64%</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制鞋</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1.15</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1.1</w:t>
            </w:r>
          </w:p>
        </w:tc>
        <w:tc>
          <w:tcPr>
            <w:tcW w:w="16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4.55%</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皮革化工</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1.2</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1.19</w:t>
            </w:r>
          </w:p>
        </w:tc>
        <w:tc>
          <w:tcPr>
            <w:tcW w:w="16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0.84%</w:t>
            </w:r>
          </w:p>
        </w:tc>
      </w:tr>
      <w:tr w:rsidR="007A1B00" w:rsidTr="005B500E">
        <w:trPr>
          <w:trHeight w:val="375"/>
        </w:trPr>
        <w:tc>
          <w:tcPr>
            <w:tcW w:w="2240" w:type="dxa"/>
            <w:tcBorders>
              <w:top w:val="nil"/>
              <w:left w:val="single" w:sz="4" w:space="0" w:color="auto"/>
              <w:bottom w:val="single" w:sz="4" w:space="0" w:color="auto"/>
              <w:right w:val="single" w:sz="4" w:space="0" w:color="auto"/>
            </w:tcBorders>
            <w:shd w:val="clear" w:color="auto" w:fill="auto"/>
            <w:vAlign w:val="bottom"/>
          </w:tcPr>
          <w:p w:rsidR="007A1B00" w:rsidRDefault="007A1B00" w:rsidP="005B500E">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合成革</w:t>
            </w:r>
          </w:p>
        </w:tc>
        <w:tc>
          <w:tcPr>
            <w:tcW w:w="244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1.01</w:t>
            </w:r>
          </w:p>
        </w:tc>
        <w:tc>
          <w:tcPr>
            <w:tcW w:w="23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0.98</w:t>
            </w:r>
          </w:p>
        </w:tc>
        <w:tc>
          <w:tcPr>
            <w:tcW w:w="1600" w:type="dxa"/>
            <w:tcBorders>
              <w:top w:val="nil"/>
              <w:left w:val="nil"/>
              <w:bottom w:val="single" w:sz="4" w:space="0" w:color="auto"/>
              <w:right w:val="single" w:sz="4" w:space="0" w:color="auto"/>
            </w:tcBorders>
            <w:shd w:val="clear" w:color="auto" w:fill="auto"/>
            <w:vAlign w:val="bottom"/>
          </w:tcPr>
          <w:p w:rsidR="007A1B00" w:rsidRDefault="007A1B00" w:rsidP="005B500E">
            <w:pPr>
              <w:jc w:val="right"/>
              <w:rPr>
                <w:rFonts w:ascii="仿宋_GB2312" w:eastAsia="仿宋_GB2312" w:hAnsi="宋体" w:cs="宋体"/>
                <w:color w:val="000000"/>
                <w:sz w:val="28"/>
                <w:szCs w:val="28"/>
              </w:rPr>
            </w:pPr>
            <w:r>
              <w:rPr>
                <w:rFonts w:ascii="仿宋_GB2312" w:eastAsia="仿宋_GB2312" w:hint="eastAsia"/>
                <w:color w:val="000000"/>
                <w:sz w:val="28"/>
                <w:szCs w:val="28"/>
              </w:rPr>
              <w:t>3.06%</w:t>
            </w:r>
          </w:p>
        </w:tc>
      </w:tr>
    </w:tbl>
    <w:p w:rsidR="007A1B00" w:rsidRDefault="007A1B00" w:rsidP="007A1B00">
      <w:pPr>
        <w:jc w:val="center"/>
        <w:rPr>
          <w:rFonts w:ascii="仿宋_GB2312" w:eastAsia="仿宋_GB2312" w:hAnsi="楷体"/>
          <w:b/>
          <w:sz w:val="32"/>
          <w:szCs w:val="32"/>
        </w:rPr>
      </w:pPr>
      <w:r>
        <w:rPr>
          <w:noProof/>
        </w:rPr>
        <w:lastRenderedPageBreak/>
        <w:drawing>
          <wp:inline distT="0" distB="0" distL="0" distR="0" wp14:anchorId="36D3686C" wp14:editId="6759C47C">
            <wp:extent cx="4572000" cy="3300095"/>
            <wp:effectExtent l="0" t="0" r="19050" b="146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1B00" w:rsidRDefault="007A1B00" w:rsidP="007A1B00">
      <w:pPr>
        <w:ind w:firstLineChars="200" w:firstLine="640"/>
        <w:rPr>
          <w:rFonts w:ascii="黑体" w:eastAsia="黑体" w:hAnsi="黑体"/>
          <w:sz w:val="32"/>
          <w:szCs w:val="32"/>
        </w:rPr>
      </w:pPr>
      <w:r>
        <w:rPr>
          <w:rFonts w:ascii="黑体" w:eastAsia="黑体" w:hAnsi="黑体" w:hint="eastAsia"/>
          <w:sz w:val="32"/>
          <w:szCs w:val="32"/>
        </w:rPr>
        <w:t>二、上半年重点推进工作</w:t>
      </w:r>
    </w:p>
    <w:p w:rsidR="007A1B00" w:rsidRDefault="007A1B00" w:rsidP="007A1B00">
      <w:pPr>
        <w:ind w:firstLineChars="200" w:firstLine="640"/>
        <w:rPr>
          <w:rFonts w:ascii="仿宋_GB2312" w:eastAsia="仿宋_GB2312" w:hAnsi="楷体"/>
          <w:sz w:val="32"/>
          <w:szCs w:val="32"/>
        </w:rPr>
      </w:pPr>
      <w:r w:rsidRPr="00435667">
        <w:rPr>
          <w:rFonts w:ascii="楷体" w:eastAsia="楷体" w:hAnsi="楷体" w:hint="eastAsia"/>
          <w:sz w:val="32"/>
          <w:szCs w:val="32"/>
        </w:rPr>
        <w:t>（一）</w:t>
      </w:r>
      <w:r w:rsidRPr="00435667">
        <w:rPr>
          <w:rFonts w:ascii="楷体" w:eastAsia="楷体" w:hAnsi="楷体"/>
          <w:sz w:val="32"/>
          <w:szCs w:val="32"/>
        </w:rPr>
        <w:t>完成换届工作</w:t>
      </w:r>
      <w:r w:rsidRPr="00435667">
        <w:rPr>
          <w:rFonts w:ascii="楷体" w:eastAsia="楷体" w:hAnsi="楷体" w:hint="eastAsia"/>
          <w:sz w:val="32"/>
          <w:szCs w:val="32"/>
        </w:rPr>
        <w:t>。</w:t>
      </w:r>
      <w:r>
        <w:rPr>
          <w:rFonts w:ascii="仿宋_GB2312" w:eastAsia="仿宋_GB2312" w:hAnsi="楷体"/>
          <w:sz w:val="32"/>
          <w:szCs w:val="32"/>
        </w:rPr>
        <w:t>协会五月底举行了换届大会</w:t>
      </w:r>
      <w:r>
        <w:rPr>
          <w:rFonts w:ascii="仿宋_GB2312" w:eastAsia="仿宋_GB2312" w:hAnsi="楷体" w:hint="eastAsia"/>
          <w:sz w:val="32"/>
          <w:szCs w:val="32"/>
        </w:rPr>
        <w:t>，</w:t>
      </w:r>
      <w:r>
        <w:rPr>
          <w:rFonts w:ascii="仿宋_GB2312" w:eastAsia="仿宋_GB2312" w:hAnsi="楷体"/>
          <w:sz w:val="32"/>
          <w:szCs w:val="32"/>
        </w:rPr>
        <w:t>选举了第三届理事会</w:t>
      </w:r>
      <w:r>
        <w:rPr>
          <w:rFonts w:ascii="仿宋_GB2312" w:eastAsia="仿宋_GB2312" w:hAnsi="楷体" w:hint="eastAsia"/>
          <w:sz w:val="32"/>
          <w:szCs w:val="32"/>
        </w:rPr>
        <w:t>。</w:t>
      </w:r>
      <w:r>
        <w:rPr>
          <w:rFonts w:ascii="仿宋_GB2312" w:eastAsia="仿宋_GB2312" w:hAnsi="楷体"/>
          <w:sz w:val="32"/>
          <w:szCs w:val="32"/>
        </w:rPr>
        <w:t>在新的领导班子带领下</w:t>
      </w:r>
      <w:r>
        <w:rPr>
          <w:rFonts w:ascii="仿宋_GB2312" w:eastAsia="仿宋_GB2312" w:hAnsi="楷体" w:hint="eastAsia"/>
          <w:sz w:val="32"/>
          <w:szCs w:val="32"/>
        </w:rPr>
        <w:t>，</w:t>
      </w:r>
      <w:r>
        <w:rPr>
          <w:rFonts w:ascii="仿宋_GB2312" w:eastAsia="仿宋_GB2312" w:hAnsi="楷体"/>
          <w:sz w:val="32"/>
          <w:szCs w:val="32"/>
        </w:rPr>
        <w:t>协会将继续服务好宁波皮革行业</w:t>
      </w:r>
      <w:r>
        <w:rPr>
          <w:rFonts w:ascii="仿宋_GB2312" w:eastAsia="仿宋_GB2312" w:hAnsi="楷体" w:hint="eastAsia"/>
          <w:sz w:val="32"/>
          <w:szCs w:val="32"/>
        </w:rPr>
        <w:t>，</w:t>
      </w:r>
      <w:r>
        <w:rPr>
          <w:rFonts w:ascii="仿宋_GB2312" w:eastAsia="仿宋_GB2312" w:hAnsi="楷体"/>
          <w:sz w:val="32"/>
          <w:szCs w:val="32"/>
        </w:rPr>
        <w:t>助力行业高质量发展</w:t>
      </w:r>
      <w:r>
        <w:rPr>
          <w:rFonts w:ascii="仿宋_GB2312" w:eastAsia="仿宋_GB2312" w:hAnsi="楷体" w:hint="eastAsia"/>
          <w:sz w:val="32"/>
          <w:szCs w:val="32"/>
        </w:rPr>
        <w:t>。</w:t>
      </w:r>
    </w:p>
    <w:p w:rsidR="007A1B00" w:rsidRDefault="007A1B00" w:rsidP="007A1B00">
      <w:pPr>
        <w:ind w:firstLineChars="200" w:firstLine="640"/>
        <w:rPr>
          <w:rFonts w:ascii="仿宋_GB2312" w:eastAsia="仿宋_GB2312"/>
          <w:sz w:val="30"/>
          <w:szCs w:val="30"/>
        </w:rPr>
      </w:pPr>
      <w:r w:rsidRPr="00435667">
        <w:rPr>
          <w:rFonts w:ascii="楷体" w:eastAsia="楷体" w:hAnsi="楷体" w:hint="eastAsia"/>
          <w:sz w:val="32"/>
          <w:szCs w:val="32"/>
        </w:rPr>
        <w:t>（二）</w:t>
      </w:r>
      <w:r w:rsidRPr="00435667">
        <w:rPr>
          <w:rFonts w:ascii="楷体" w:eastAsia="楷体" w:hAnsi="楷体"/>
          <w:sz w:val="32"/>
          <w:szCs w:val="32"/>
        </w:rPr>
        <w:t>开展行业提升工作</w:t>
      </w:r>
      <w:r w:rsidRPr="00435667">
        <w:rPr>
          <w:rFonts w:ascii="楷体" w:eastAsia="楷体" w:hAnsi="楷体" w:hint="eastAsia"/>
          <w:sz w:val="32"/>
          <w:szCs w:val="32"/>
        </w:rPr>
        <w:t>。</w:t>
      </w:r>
      <w:r w:rsidRPr="00435667">
        <w:rPr>
          <w:rFonts w:ascii="仿宋_GB2312" w:eastAsia="仿宋_GB2312"/>
          <w:sz w:val="30"/>
          <w:szCs w:val="30"/>
        </w:rPr>
        <w:t>上半年协会</w:t>
      </w:r>
      <w:r w:rsidRPr="00435667">
        <w:rPr>
          <w:rFonts w:ascii="仿宋_GB2312" w:eastAsia="仿宋_GB2312" w:hint="eastAsia"/>
          <w:sz w:val="30"/>
          <w:szCs w:val="30"/>
        </w:rPr>
        <w:t>举办了“企业税</w:t>
      </w:r>
      <w:r w:rsidRPr="005F2EC3">
        <w:rPr>
          <w:rFonts w:ascii="仿宋_GB2312" w:eastAsia="仿宋_GB2312" w:hint="eastAsia"/>
          <w:sz w:val="30"/>
          <w:szCs w:val="30"/>
        </w:rPr>
        <w:t>务风险防范与降费减税政策讲座”</w:t>
      </w:r>
      <w:r>
        <w:rPr>
          <w:rFonts w:ascii="仿宋_GB2312" w:eastAsia="仿宋_GB2312" w:hint="eastAsia"/>
          <w:sz w:val="30"/>
          <w:szCs w:val="30"/>
        </w:rPr>
        <w:t>；</w:t>
      </w:r>
      <w:r w:rsidRPr="005F2EC3">
        <w:rPr>
          <w:rFonts w:ascii="仿宋_GB2312" w:eastAsia="仿宋_GB2312" w:hint="eastAsia"/>
          <w:sz w:val="30"/>
          <w:szCs w:val="30"/>
        </w:rPr>
        <w:t>举办了一场箱包标准工时系统培训</w:t>
      </w:r>
      <w:r>
        <w:rPr>
          <w:rFonts w:ascii="仿宋_GB2312" w:eastAsia="仿宋_GB2312" w:hint="eastAsia"/>
          <w:sz w:val="30"/>
          <w:szCs w:val="30"/>
        </w:rPr>
        <w:t>；协会与</w:t>
      </w:r>
      <w:r w:rsidRPr="005F2EC3">
        <w:rPr>
          <w:rFonts w:ascii="仿宋_GB2312" w:eastAsia="仿宋_GB2312" w:hint="eastAsia"/>
          <w:sz w:val="30"/>
          <w:szCs w:val="30"/>
        </w:rPr>
        <w:t>市工业设计联合会</w:t>
      </w:r>
      <w:r>
        <w:rPr>
          <w:rFonts w:ascii="仿宋_GB2312" w:eastAsia="仿宋_GB2312" w:hint="eastAsia"/>
          <w:sz w:val="30"/>
          <w:szCs w:val="30"/>
        </w:rPr>
        <w:t>等</w:t>
      </w:r>
      <w:r w:rsidRPr="005F2EC3">
        <w:rPr>
          <w:rFonts w:ascii="仿宋_GB2312" w:eastAsia="仿宋_GB2312" w:hint="eastAsia"/>
          <w:sz w:val="30"/>
          <w:szCs w:val="30"/>
        </w:rPr>
        <w:t>多家单位联合举办“百家设计机构走进千家制造企业系列对接会”</w:t>
      </w:r>
      <w:r>
        <w:rPr>
          <w:rFonts w:ascii="仿宋_GB2312" w:eastAsia="仿宋_GB2312" w:hint="eastAsia"/>
          <w:sz w:val="30"/>
          <w:szCs w:val="30"/>
        </w:rPr>
        <w:t>；</w:t>
      </w:r>
      <w:r w:rsidRPr="005F2EC3">
        <w:rPr>
          <w:rFonts w:ascii="仿宋_GB2312" w:eastAsia="仿宋_GB2312" w:hint="eastAsia"/>
          <w:sz w:val="30"/>
          <w:szCs w:val="30"/>
        </w:rPr>
        <w:t>组织企业参加</w:t>
      </w:r>
      <w:r>
        <w:rPr>
          <w:rFonts w:ascii="仿宋_GB2312" w:eastAsia="仿宋_GB2312" w:hint="eastAsia"/>
          <w:sz w:val="30"/>
          <w:szCs w:val="30"/>
        </w:rPr>
        <w:t>“</w:t>
      </w:r>
      <w:r w:rsidRPr="005F2EC3">
        <w:rPr>
          <w:rFonts w:ascii="仿宋_GB2312" w:eastAsia="仿宋_GB2312"/>
          <w:sz w:val="30"/>
          <w:szCs w:val="30"/>
        </w:rPr>
        <w:t>2019</w:t>
      </w:r>
      <w:r w:rsidRPr="005F2EC3">
        <w:rPr>
          <w:rFonts w:ascii="仿宋_GB2312" w:eastAsia="仿宋_GB2312" w:hint="eastAsia"/>
          <w:sz w:val="30"/>
          <w:szCs w:val="30"/>
        </w:rPr>
        <w:t>中国出口贸易形势春季讲演会</w:t>
      </w:r>
      <w:r>
        <w:rPr>
          <w:rFonts w:ascii="仿宋_GB2312" w:eastAsia="仿宋_GB2312" w:hint="eastAsia"/>
          <w:sz w:val="30"/>
          <w:szCs w:val="30"/>
        </w:rPr>
        <w:t>”、</w:t>
      </w:r>
      <w:r w:rsidRPr="005F2EC3">
        <w:rPr>
          <w:rFonts w:ascii="仿宋_GB2312" w:eastAsia="仿宋_GB2312" w:hint="eastAsia"/>
          <w:sz w:val="30"/>
          <w:szCs w:val="30"/>
        </w:rPr>
        <w:t>“中美贸易摩擦解读及其对宁波的影响讲座”</w:t>
      </w:r>
      <w:r>
        <w:rPr>
          <w:rFonts w:ascii="仿宋_GB2312" w:eastAsia="仿宋_GB2312" w:hint="eastAsia"/>
          <w:sz w:val="30"/>
          <w:szCs w:val="30"/>
        </w:rPr>
        <w:t>、</w:t>
      </w:r>
      <w:r w:rsidRPr="005F2EC3">
        <w:rPr>
          <w:rFonts w:ascii="仿宋_GB2312" w:eastAsia="仿宋_GB2312" w:hint="eastAsia"/>
          <w:sz w:val="30"/>
          <w:szCs w:val="30"/>
        </w:rPr>
        <w:t>“宏观经济形势与企业转型升级专题培训班及有关政策宣讲会”</w:t>
      </w:r>
      <w:r>
        <w:rPr>
          <w:rFonts w:ascii="仿宋_GB2312" w:eastAsia="仿宋_GB2312" w:hint="eastAsia"/>
          <w:sz w:val="30"/>
          <w:szCs w:val="30"/>
        </w:rPr>
        <w:t>等讲座</w:t>
      </w:r>
      <w:r w:rsidRPr="005F2EC3">
        <w:rPr>
          <w:rFonts w:ascii="仿宋_GB2312" w:eastAsia="仿宋_GB2312" w:hint="eastAsia"/>
          <w:sz w:val="30"/>
          <w:szCs w:val="30"/>
        </w:rPr>
        <w:t>。</w:t>
      </w:r>
    </w:p>
    <w:p w:rsidR="007A1B00" w:rsidRPr="001E7B8E" w:rsidRDefault="007A1B00" w:rsidP="007A1B00">
      <w:pPr>
        <w:ind w:firstLineChars="200" w:firstLine="640"/>
        <w:rPr>
          <w:rFonts w:ascii="仿宋_GB2312" w:eastAsia="仿宋_GB2312"/>
          <w:sz w:val="30"/>
          <w:szCs w:val="30"/>
        </w:rPr>
      </w:pPr>
      <w:r w:rsidRPr="00435667">
        <w:rPr>
          <w:rFonts w:ascii="楷体" w:eastAsia="楷体" w:hAnsi="楷体" w:hint="eastAsia"/>
          <w:sz w:val="32"/>
          <w:szCs w:val="32"/>
        </w:rPr>
        <w:t>（三）推进团体标准实施工作。</w:t>
      </w:r>
      <w:r w:rsidRPr="001E7B8E">
        <w:rPr>
          <w:rFonts w:ascii="仿宋_GB2312" w:eastAsia="仿宋_GB2312" w:hint="eastAsia"/>
          <w:sz w:val="30"/>
          <w:szCs w:val="30"/>
        </w:rPr>
        <w:t>协会召开了团体标准宣</w:t>
      </w:r>
      <w:proofErr w:type="gramStart"/>
      <w:r w:rsidRPr="001E7B8E">
        <w:rPr>
          <w:rFonts w:ascii="仿宋_GB2312" w:eastAsia="仿宋_GB2312" w:hint="eastAsia"/>
          <w:sz w:val="30"/>
          <w:szCs w:val="30"/>
        </w:rPr>
        <w:t>贯培训</w:t>
      </w:r>
      <w:proofErr w:type="gramEnd"/>
      <w:r w:rsidRPr="001E7B8E">
        <w:rPr>
          <w:rFonts w:ascii="仿宋_GB2312" w:eastAsia="仿宋_GB2312" w:hint="eastAsia"/>
          <w:sz w:val="30"/>
          <w:szCs w:val="30"/>
        </w:rPr>
        <w:t>会议，开始在企业中进行《儿童包（袋）》团体标准的实施工作。协会秘书长对实施企业进行走访，了解企业内部标准宣</w:t>
      </w:r>
      <w:proofErr w:type="gramStart"/>
      <w:r w:rsidRPr="001E7B8E">
        <w:rPr>
          <w:rFonts w:ascii="仿宋_GB2312" w:eastAsia="仿宋_GB2312" w:hint="eastAsia"/>
          <w:sz w:val="30"/>
          <w:szCs w:val="30"/>
        </w:rPr>
        <w:t>贯</w:t>
      </w:r>
      <w:r w:rsidRPr="001E7B8E">
        <w:rPr>
          <w:rFonts w:ascii="仿宋_GB2312" w:eastAsia="仿宋_GB2312" w:hint="eastAsia"/>
          <w:sz w:val="30"/>
          <w:szCs w:val="30"/>
        </w:rPr>
        <w:lastRenderedPageBreak/>
        <w:t>执行</w:t>
      </w:r>
      <w:proofErr w:type="gramEnd"/>
      <w:r w:rsidRPr="001E7B8E">
        <w:rPr>
          <w:rFonts w:ascii="仿宋_GB2312" w:eastAsia="仿宋_GB2312" w:hint="eastAsia"/>
          <w:sz w:val="30"/>
          <w:szCs w:val="30"/>
        </w:rPr>
        <w:t>情况。</w:t>
      </w:r>
    </w:p>
    <w:p w:rsidR="007A1B00" w:rsidRDefault="007A1B00" w:rsidP="007A1B00">
      <w:pPr>
        <w:widowControl/>
        <w:ind w:firstLineChars="200" w:firstLine="640"/>
        <w:jc w:val="left"/>
        <w:rPr>
          <w:rFonts w:ascii="仿宋_GB2312" w:eastAsia="仿宋_GB2312"/>
          <w:sz w:val="30"/>
          <w:szCs w:val="30"/>
        </w:rPr>
      </w:pPr>
      <w:r w:rsidRPr="00435667">
        <w:rPr>
          <w:rFonts w:ascii="楷体" w:eastAsia="楷体" w:hAnsi="楷体" w:hint="eastAsia"/>
          <w:sz w:val="32"/>
          <w:szCs w:val="32"/>
        </w:rPr>
        <w:t>（四）做好展会服务及考察交流工作。</w:t>
      </w:r>
      <w:r w:rsidRPr="00435667">
        <w:rPr>
          <w:rFonts w:ascii="仿宋_GB2312" w:eastAsia="仿宋_GB2312" w:hint="eastAsia"/>
          <w:sz w:val="30"/>
          <w:szCs w:val="30"/>
        </w:rPr>
        <w:t>上半年，协会组织企业参加了中国（宁波）外贸商品展销会</w:t>
      </w:r>
      <w:r>
        <w:rPr>
          <w:rFonts w:ascii="仿宋_GB2312" w:eastAsia="仿宋_GB2312" w:hint="eastAsia"/>
          <w:sz w:val="30"/>
          <w:szCs w:val="30"/>
        </w:rPr>
        <w:t>，</w:t>
      </w:r>
      <w:r w:rsidRPr="005F2EC3">
        <w:rPr>
          <w:rFonts w:ascii="仿宋_GB2312" w:eastAsia="仿宋_GB2312" w:hint="eastAsia"/>
          <w:sz w:val="30"/>
          <w:szCs w:val="30"/>
        </w:rPr>
        <w:t>华交会</w:t>
      </w:r>
      <w:r>
        <w:rPr>
          <w:rFonts w:ascii="仿宋_GB2312" w:eastAsia="仿宋_GB2312" w:hint="eastAsia"/>
          <w:sz w:val="30"/>
          <w:szCs w:val="30"/>
        </w:rPr>
        <w:t>，</w:t>
      </w:r>
      <w:r w:rsidRPr="005F2EC3">
        <w:rPr>
          <w:rFonts w:ascii="仿宋_GB2312" w:eastAsia="仿宋_GB2312" w:hint="eastAsia"/>
          <w:sz w:val="30"/>
          <w:szCs w:val="30"/>
        </w:rPr>
        <w:t>浙江国际智能缝制设备展览会</w:t>
      </w:r>
      <w:r>
        <w:rPr>
          <w:rFonts w:ascii="仿宋_GB2312" w:eastAsia="仿宋_GB2312" w:hint="eastAsia"/>
          <w:sz w:val="30"/>
          <w:szCs w:val="30"/>
        </w:rPr>
        <w:t>等展会，在参展的同时还组织企业观展，让更多企业了解行业发展情况。上半年，协会还组织</w:t>
      </w:r>
      <w:r w:rsidRPr="006B6D2D">
        <w:rPr>
          <w:rFonts w:ascii="仿宋_GB2312" w:eastAsia="仿宋_GB2312" w:hint="eastAsia"/>
          <w:sz w:val="30"/>
          <w:szCs w:val="30"/>
        </w:rPr>
        <w:t>企业前往台州</w:t>
      </w:r>
      <w:r>
        <w:rPr>
          <w:rFonts w:ascii="仿宋_GB2312" w:eastAsia="仿宋_GB2312" w:hint="eastAsia"/>
          <w:sz w:val="30"/>
          <w:szCs w:val="30"/>
        </w:rPr>
        <w:t>考察设备生产企业，组织企业前往嘉兴及江苏考察原辅材料生产企业，为企业机器换人及材料采购做好对接工作。</w:t>
      </w:r>
    </w:p>
    <w:p w:rsidR="007A1B00" w:rsidRPr="00435667" w:rsidRDefault="007A1B00" w:rsidP="007A1B00">
      <w:pPr>
        <w:ind w:firstLineChars="200" w:firstLine="640"/>
        <w:rPr>
          <w:rFonts w:ascii="黑体" w:eastAsia="黑体" w:hAnsi="黑体"/>
          <w:sz w:val="32"/>
          <w:szCs w:val="32"/>
        </w:rPr>
      </w:pPr>
      <w:r w:rsidRPr="00435667">
        <w:rPr>
          <w:rFonts w:ascii="黑体" w:eastAsia="黑体" w:hAnsi="黑体" w:hint="eastAsia"/>
          <w:sz w:val="32"/>
          <w:szCs w:val="32"/>
        </w:rPr>
        <w:t>三、行业发展存在的主要问题</w:t>
      </w:r>
    </w:p>
    <w:p w:rsidR="007A1B00" w:rsidRPr="00435667" w:rsidRDefault="007A1B00" w:rsidP="007A1B00">
      <w:pPr>
        <w:ind w:firstLineChars="200" w:firstLine="640"/>
        <w:rPr>
          <w:rFonts w:ascii="仿宋_GB2312" w:eastAsia="仿宋_GB2312" w:hAnsi="楷体"/>
          <w:sz w:val="32"/>
          <w:szCs w:val="32"/>
        </w:rPr>
      </w:pPr>
      <w:r w:rsidRPr="00435667">
        <w:rPr>
          <w:rFonts w:ascii="楷体" w:eastAsia="楷体" w:hAnsi="楷体" w:hint="eastAsia"/>
          <w:sz w:val="32"/>
          <w:szCs w:val="32"/>
        </w:rPr>
        <w:t>一是行业劳动力供给不足。</w:t>
      </w:r>
      <w:r w:rsidRPr="00435667">
        <w:rPr>
          <w:rFonts w:ascii="仿宋_GB2312" w:eastAsia="仿宋_GB2312" w:hAnsi="楷体" w:hint="eastAsia"/>
          <w:sz w:val="32"/>
          <w:szCs w:val="32"/>
        </w:rPr>
        <w:t>皮革箱包</w:t>
      </w:r>
      <w:r>
        <w:rPr>
          <w:rFonts w:ascii="仿宋_GB2312" w:eastAsia="仿宋_GB2312" w:hAnsi="楷体" w:hint="eastAsia"/>
          <w:sz w:val="32"/>
          <w:szCs w:val="32"/>
        </w:rPr>
        <w:t>行业以劳动密集型企业为主，</w:t>
      </w:r>
      <w:r w:rsidRPr="00435667">
        <w:rPr>
          <w:rFonts w:ascii="仿宋_GB2312" w:eastAsia="仿宋_GB2312" w:hAnsi="楷体" w:hint="eastAsia"/>
          <w:sz w:val="32"/>
          <w:szCs w:val="32"/>
        </w:rPr>
        <w:t>通过企业走访了解，</w:t>
      </w:r>
      <w:r>
        <w:rPr>
          <w:rFonts w:ascii="仿宋_GB2312" w:eastAsia="仿宋_GB2312" w:hAnsi="楷体" w:hint="eastAsia"/>
          <w:sz w:val="32"/>
          <w:szCs w:val="32"/>
        </w:rPr>
        <w:t>现在存在较严重的普通技术工人大龄化的问题，平均年龄在45岁左右，对行业发展有着较大的制约。</w:t>
      </w:r>
    </w:p>
    <w:p w:rsidR="007A1B00" w:rsidRPr="005465BD" w:rsidRDefault="007A1B00" w:rsidP="007A1B00">
      <w:pPr>
        <w:ind w:firstLineChars="200" w:firstLine="640"/>
        <w:rPr>
          <w:rFonts w:ascii="仿宋_GB2312" w:eastAsia="仿宋_GB2312" w:hAnsi="楷体"/>
          <w:sz w:val="32"/>
          <w:szCs w:val="32"/>
        </w:rPr>
      </w:pPr>
      <w:r w:rsidRPr="005465BD">
        <w:rPr>
          <w:rFonts w:ascii="楷体" w:eastAsia="楷体" w:hAnsi="楷体" w:hint="eastAsia"/>
          <w:sz w:val="32"/>
          <w:szCs w:val="32"/>
        </w:rPr>
        <w:t>二是企业规模偏小缺乏发展动能。</w:t>
      </w:r>
      <w:r w:rsidRPr="005465BD">
        <w:rPr>
          <w:rFonts w:ascii="仿宋_GB2312" w:eastAsia="仿宋_GB2312" w:hAnsi="楷体" w:hint="eastAsia"/>
          <w:sz w:val="32"/>
          <w:szCs w:val="32"/>
        </w:rPr>
        <w:t>皮革</w:t>
      </w:r>
      <w:r>
        <w:rPr>
          <w:rFonts w:ascii="仿宋_GB2312" w:eastAsia="仿宋_GB2312" w:hAnsi="楷体" w:hint="eastAsia"/>
          <w:sz w:val="32"/>
          <w:szCs w:val="32"/>
        </w:rPr>
        <w:t>箱包</w:t>
      </w:r>
      <w:r w:rsidRPr="005465BD">
        <w:rPr>
          <w:rFonts w:ascii="仿宋_GB2312" w:eastAsia="仿宋_GB2312" w:hAnsi="楷体" w:hint="eastAsia"/>
          <w:sz w:val="32"/>
          <w:szCs w:val="32"/>
        </w:rPr>
        <w:t>行业主要以小</w:t>
      </w:r>
      <w:proofErr w:type="gramStart"/>
      <w:r w:rsidRPr="005465BD">
        <w:rPr>
          <w:rFonts w:ascii="仿宋_GB2312" w:eastAsia="仿宋_GB2312" w:hAnsi="楷体" w:hint="eastAsia"/>
          <w:sz w:val="32"/>
          <w:szCs w:val="32"/>
        </w:rPr>
        <w:t>微企业</w:t>
      </w:r>
      <w:proofErr w:type="gramEnd"/>
      <w:r w:rsidRPr="005465BD">
        <w:rPr>
          <w:rFonts w:ascii="仿宋_GB2312" w:eastAsia="仿宋_GB2312" w:hAnsi="楷体" w:hint="eastAsia"/>
          <w:sz w:val="32"/>
          <w:szCs w:val="32"/>
        </w:rPr>
        <w:t>为主。</w:t>
      </w:r>
      <w:r>
        <w:rPr>
          <w:rFonts w:ascii="仿宋_GB2312" w:eastAsia="仿宋_GB2312" w:hAnsi="楷体" w:hint="eastAsia"/>
          <w:sz w:val="32"/>
          <w:szCs w:val="32"/>
        </w:rPr>
        <w:t>企业在生产标准的执行及管理制度的实施方面尚未到位，造成发展动能不强，决策执行力度不够的局面，为行业高质量发展带来一定的困难。</w:t>
      </w:r>
    </w:p>
    <w:p w:rsidR="007A1B00" w:rsidRPr="005465BD" w:rsidRDefault="007A1B00" w:rsidP="007A1B00">
      <w:pPr>
        <w:ind w:firstLineChars="200" w:firstLine="640"/>
        <w:rPr>
          <w:rFonts w:ascii="仿宋_GB2312" w:eastAsia="仿宋_GB2312" w:hAnsi="楷体"/>
          <w:sz w:val="32"/>
          <w:szCs w:val="32"/>
        </w:rPr>
      </w:pPr>
      <w:r w:rsidRPr="00CB4345">
        <w:rPr>
          <w:rFonts w:ascii="楷体" w:eastAsia="楷体" w:hAnsi="楷体" w:hint="eastAsia"/>
          <w:sz w:val="32"/>
          <w:szCs w:val="32"/>
        </w:rPr>
        <w:t>三是国际形势复杂多变阻碍行业发展。</w:t>
      </w:r>
      <w:r w:rsidRPr="00953A7B">
        <w:rPr>
          <w:rFonts w:ascii="仿宋_GB2312" w:eastAsia="仿宋_GB2312" w:hAnsi="楷体" w:hint="eastAsia"/>
          <w:sz w:val="32"/>
          <w:szCs w:val="32"/>
        </w:rPr>
        <w:t>宁波</w:t>
      </w:r>
      <w:r w:rsidRPr="005465BD">
        <w:rPr>
          <w:rFonts w:ascii="仿宋_GB2312" w:eastAsia="仿宋_GB2312" w:hAnsi="楷体" w:hint="eastAsia"/>
          <w:sz w:val="32"/>
          <w:szCs w:val="32"/>
        </w:rPr>
        <w:t>皮革箱包行业以出口为主，</w:t>
      </w:r>
      <w:r>
        <w:rPr>
          <w:rFonts w:ascii="仿宋_GB2312" w:eastAsia="仿宋_GB2312" w:hAnsi="楷体" w:hint="eastAsia"/>
          <w:sz w:val="32"/>
          <w:szCs w:val="32"/>
        </w:rPr>
        <w:t>并被中国轻工工艺品进出口商会授予了“中国（宁波）箱包出口基地”的荣誉。但因今年上半年中美贸易摩擦影响，特别是5月份，美国</w:t>
      </w:r>
      <w:r w:rsidRPr="00953A7B">
        <w:rPr>
          <w:rFonts w:ascii="仿宋_GB2312" w:eastAsia="仿宋_GB2312" w:hAnsi="楷体" w:hint="eastAsia"/>
          <w:sz w:val="32"/>
          <w:szCs w:val="32"/>
        </w:rPr>
        <w:t>对从中国进口的2000亿美元清单商品加征的关税税率由10%提高到25%。涉及皮革行业的税号有118个，按6位</w:t>
      </w:r>
      <w:proofErr w:type="gramStart"/>
      <w:r w:rsidRPr="00953A7B">
        <w:rPr>
          <w:rFonts w:ascii="仿宋_GB2312" w:eastAsia="仿宋_GB2312" w:hAnsi="楷体" w:hint="eastAsia"/>
          <w:sz w:val="32"/>
          <w:szCs w:val="32"/>
        </w:rPr>
        <w:t>海关税码来看</w:t>
      </w:r>
      <w:proofErr w:type="gramEnd"/>
      <w:r w:rsidRPr="00953A7B">
        <w:rPr>
          <w:rFonts w:ascii="仿宋_GB2312" w:eastAsia="仿宋_GB2312" w:hAnsi="楷体" w:hint="eastAsia"/>
          <w:sz w:val="32"/>
          <w:szCs w:val="32"/>
        </w:rPr>
        <w:t>，主要涉及成品</w:t>
      </w:r>
      <w:r w:rsidRPr="00953A7B">
        <w:rPr>
          <w:rFonts w:ascii="仿宋_GB2312" w:eastAsia="仿宋_GB2312" w:hAnsi="楷体" w:hint="eastAsia"/>
          <w:sz w:val="32"/>
          <w:szCs w:val="32"/>
        </w:rPr>
        <w:lastRenderedPageBreak/>
        <w:t>革、半成品革、旅行用品及箱包、皮革手套、其他皮革制品、毛皮服装、已</w:t>
      </w:r>
      <w:proofErr w:type="gramStart"/>
      <w:r w:rsidRPr="00953A7B">
        <w:rPr>
          <w:rFonts w:ascii="仿宋_GB2312" w:eastAsia="仿宋_GB2312" w:hAnsi="楷体" w:hint="eastAsia"/>
          <w:sz w:val="32"/>
          <w:szCs w:val="32"/>
        </w:rPr>
        <w:t>鞣</w:t>
      </w:r>
      <w:proofErr w:type="gramEnd"/>
      <w:r w:rsidRPr="00953A7B">
        <w:rPr>
          <w:rFonts w:ascii="仿宋_GB2312" w:eastAsia="仿宋_GB2312" w:hAnsi="楷体" w:hint="eastAsia"/>
          <w:sz w:val="32"/>
          <w:szCs w:val="32"/>
        </w:rPr>
        <w:t>毛皮、其他毛皮制品等8个子行业。旅行用品及箱包是我市皮革行业的主要对外出口产品，此次加征关税对我市箱包企业冲击较大，</w:t>
      </w:r>
      <w:r>
        <w:rPr>
          <w:rFonts w:ascii="仿宋_GB2312" w:eastAsia="仿宋_GB2312" w:hAnsi="楷体" w:hint="eastAsia"/>
          <w:sz w:val="32"/>
          <w:szCs w:val="32"/>
        </w:rPr>
        <w:t>很多对美出口的订单到6月份已急剧减少，同时也影响着很多小型加工企业</w:t>
      </w:r>
      <w:r w:rsidRPr="00953A7B">
        <w:rPr>
          <w:rFonts w:ascii="仿宋_GB2312" w:eastAsia="仿宋_GB2312" w:hAnsi="楷体" w:hint="eastAsia"/>
          <w:sz w:val="32"/>
          <w:szCs w:val="32"/>
        </w:rPr>
        <w:t>。</w:t>
      </w:r>
    </w:p>
    <w:p w:rsidR="007A1B00" w:rsidRDefault="007A1B00" w:rsidP="007A1B00">
      <w:pPr>
        <w:ind w:firstLineChars="200" w:firstLine="640"/>
        <w:rPr>
          <w:rFonts w:ascii="仿宋_GB2312" w:eastAsia="仿宋_GB2312" w:hAnsi="楷体"/>
          <w:sz w:val="32"/>
          <w:szCs w:val="32"/>
        </w:rPr>
      </w:pPr>
      <w:r>
        <w:rPr>
          <w:rFonts w:ascii="楷体" w:eastAsia="楷体" w:hAnsi="楷体" w:hint="eastAsia"/>
          <w:sz w:val="32"/>
          <w:szCs w:val="32"/>
        </w:rPr>
        <w:t>四是行业整体创新不足。</w:t>
      </w:r>
      <w:r>
        <w:rPr>
          <w:rFonts w:ascii="仿宋_GB2312" w:eastAsia="仿宋_GB2312" w:hAnsi="楷体" w:hint="eastAsia"/>
          <w:sz w:val="32"/>
          <w:szCs w:val="32"/>
        </w:rPr>
        <w:t>虽然协会一直在鼓励企业寻找新的发展模式，在管理模式、产品设计、发展渠道等多方面进行创新，同时也组织企业赴各地考察学习。但是有创新动向的企业还较少，传统产业的创新发展缺少新动力和机遇。</w:t>
      </w:r>
    </w:p>
    <w:p w:rsidR="007A1B00" w:rsidRPr="00551792" w:rsidRDefault="007A1B00" w:rsidP="007A1B00">
      <w:pPr>
        <w:ind w:firstLineChars="200" w:firstLine="640"/>
        <w:rPr>
          <w:rFonts w:ascii="黑体" w:eastAsia="黑体" w:hAnsi="黑体"/>
          <w:sz w:val="32"/>
          <w:szCs w:val="32"/>
        </w:rPr>
      </w:pPr>
      <w:r w:rsidRPr="00551792">
        <w:rPr>
          <w:rFonts w:ascii="黑体" w:eastAsia="黑体" w:hAnsi="黑体" w:hint="eastAsia"/>
          <w:sz w:val="32"/>
          <w:szCs w:val="32"/>
        </w:rPr>
        <w:t>四、行业发展方向建议</w:t>
      </w:r>
    </w:p>
    <w:p w:rsidR="007A1B00" w:rsidRPr="00654119" w:rsidRDefault="007A1B00" w:rsidP="007A1B00">
      <w:pPr>
        <w:ind w:firstLineChars="200" w:firstLine="640"/>
        <w:rPr>
          <w:rFonts w:ascii="仿宋_GB2312" w:eastAsia="仿宋_GB2312" w:hAnsi="楷体"/>
          <w:sz w:val="32"/>
          <w:szCs w:val="32"/>
        </w:rPr>
      </w:pPr>
      <w:r w:rsidRPr="00654119">
        <w:rPr>
          <w:rFonts w:ascii="仿宋_GB2312" w:eastAsia="仿宋_GB2312" w:hAnsi="楷体" w:hint="eastAsia"/>
          <w:sz w:val="32"/>
          <w:szCs w:val="32"/>
        </w:rPr>
        <w:t>根据当前经济发展形势、政策导向以及我市皮革箱包行业发展特点，宁波市皮革行业协会对行业发展提出以下建议：</w:t>
      </w:r>
    </w:p>
    <w:p w:rsidR="007A1B00" w:rsidRPr="00654119" w:rsidRDefault="007A1B00" w:rsidP="007A1B00">
      <w:pPr>
        <w:ind w:firstLineChars="200" w:firstLine="640"/>
        <w:rPr>
          <w:rFonts w:ascii="仿宋_GB2312" w:eastAsia="仿宋_GB2312" w:hAnsi="楷体"/>
          <w:sz w:val="32"/>
          <w:szCs w:val="32"/>
        </w:rPr>
      </w:pPr>
      <w:r w:rsidRPr="00AC57EE">
        <w:rPr>
          <w:rFonts w:ascii="楷体" w:eastAsia="楷体" w:hAnsi="楷体" w:hint="eastAsia"/>
          <w:sz w:val="32"/>
          <w:szCs w:val="32"/>
        </w:rPr>
        <w:t>（一）重视新兴市场及内销市场开拓。</w:t>
      </w:r>
      <w:r w:rsidRPr="00654119">
        <w:rPr>
          <w:rFonts w:ascii="仿宋_GB2312" w:eastAsia="仿宋_GB2312" w:hAnsi="楷体" w:hint="eastAsia"/>
          <w:sz w:val="32"/>
          <w:szCs w:val="32"/>
        </w:rPr>
        <w:t>在中美贸易摩擦形势愈演愈烈的影响下，加大对“一带一路”沿线国家及其他新兴市场的开拓，通过考察对接参展等方式，将一部分业务转移到新的市场。同时，</w:t>
      </w:r>
      <w:r>
        <w:rPr>
          <w:rFonts w:ascii="仿宋_GB2312" w:eastAsia="仿宋_GB2312" w:hAnsi="楷体" w:hint="eastAsia"/>
          <w:sz w:val="32"/>
          <w:szCs w:val="32"/>
        </w:rPr>
        <w:t>国内消费水平的提高也为企业提供了较多的机会，企业可以尝试将一部分业务转移到国内市场。</w:t>
      </w:r>
    </w:p>
    <w:p w:rsidR="007A1B00" w:rsidRPr="00AC57EE" w:rsidRDefault="007A1B00" w:rsidP="007A1B00">
      <w:pPr>
        <w:ind w:firstLineChars="200" w:firstLine="640"/>
        <w:rPr>
          <w:rFonts w:ascii="仿宋_GB2312" w:eastAsia="仿宋_GB2312" w:hAnsi="楷体"/>
          <w:sz w:val="32"/>
          <w:szCs w:val="32"/>
        </w:rPr>
      </w:pPr>
      <w:r w:rsidRPr="00AC57EE">
        <w:rPr>
          <w:rFonts w:ascii="楷体" w:eastAsia="楷体" w:hAnsi="楷体" w:hint="eastAsia"/>
          <w:sz w:val="32"/>
          <w:szCs w:val="32"/>
        </w:rPr>
        <w:t>（二）借时尚产业升级带动品牌建设。</w:t>
      </w:r>
      <w:r w:rsidRPr="00AC57EE">
        <w:rPr>
          <w:rFonts w:ascii="仿宋_GB2312" w:eastAsia="仿宋_GB2312" w:hAnsi="楷体" w:hint="eastAsia"/>
          <w:sz w:val="32"/>
          <w:szCs w:val="32"/>
        </w:rPr>
        <w:t>宁波皮革箱包行业经过多年外贸以及与国际知名品牌的加工合作，有许多工厂的技术水平都能达到品牌产品的要求。企业可以借政府大力提倡发展时尚产业的契机，布置品牌发展战略。同时，依</w:t>
      </w:r>
      <w:r w:rsidRPr="00AC57EE">
        <w:rPr>
          <w:rFonts w:ascii="仿宋_GB2312" w:eastAsia="仿宋_GB2312" w:hAnsi="楷体" w:hint="eastAsia"/>
          <w:sz w:val="32"/>
          <w:szCs w:val="32"/>
        </w:rPr>
        <w:lastRenderedPageBreak/>
        <w:t>托市内高校和专业设计机构，加深在产品研发、设计人才培养等方面的合作，为宁波皮革箱包行业的时尚</w:t>
      </w:r>
      <w:proofErr w:type="gramStart"/>
      <w:r w:rsidRPr="00AC57EE">
        <w:rPr>
          <w:rFonts w:ascii="仿宋_GB2312" w:eastAsia="仿宋_GB2312" w:hAnsi="楷体" w:hint="eastAsia"/>
          <w:sz w:val="32"/>
          <w:szCs w:val="32"/>
        </w:rPr>
        <w:t>化品牌</w:t>
      </w:r>
      <w:proofErr w:type="gramEnd"/>
      <w:r w:rsidRPr="00AC57EE">
        <w:rPr>
          <w:rFonts w:ascii="仿宋_GB2312" w:eastAsia="仿宋_GB2312" w:hAnsi="楷体" w:hint="eastAsia"/>
          <w:sz w:val="32"/>
          <w:szCs w:val="32"/>
        </w:rPr>
        <w:t>发展创造有利条件。</w:t>
      </w:r>
    </w:p>
    <w:p w:rsidR="007A1B00" w:rsidRDefault="007A1B00" w:rsidP="007A1B00">
      <w:pPr>
        <w:ind w:firstLineChars="200" w:firstLine="640"/>
        <w:rPr>
          <w:rFonts w:ascii="仿宋_GB2312" w:eastAsia="仿宋_GB2312" w:hAnsi="楷体"/>
          <w:sz w:val="32"/>
          <w:szCs w:val="32"/>
        </w:rPr>
      </w:pPr>
      <w:r w:rsidRPr="008D679D">
        <w:rPr>
          <w:rFonts w:ascii="楷体" w:eastAsia="楷体" w:hAnsi="楷体" w:hint="eastAsia"/>
          <w:sz w:val="32"/>
          <w:szCs w:val="32"/>
        </w:rPr>
        <w:t>（三）提升行业整体素质。</w:t>
      </w:r>
      <w:r w:rsidRPr="008D679D">
        <w:rPr>
          <w:rFonts w:ascii="仿宋_GB2312" w:eastAsia="仿宋_GB2312" w:hAnsi="楷体" w:hint="eastAsia"/>
          <w:sz w:val="32"/>
          <w:szCs w:val="32"/>
        </w:rPr>
        <w:t>通过缝纫工技能竞赛、皮具箱包设计人员技能竞赛等赛事，提升行业从业人员技术技能水平。通过组织企业营销、财务、高层管理等的培训，提升企业中高层的业务及管理水平。通过标准化建设的深入推进，促进企业生产经营的规范化，为</w:t>
      </w:r>
      <w:r>
        <w:rPr>
          <w:rFonts w:ascii="仿宋_GB2312" w:eastAsia="仿宋_GB2312" w:hAnsi="楷体" w:hint="eastAsia"/>
          <w:sz w:val="32"/>
          <w:szCs w:val="32"/>
        </w:rPr>
        <w:t>行业</w:t>
      </w:r>
      <w:r w:rsidRPr="008D679D">
        <w:rPr>
          <w:rFonts w:ascii="仿宋_GB2312" w:eastAsia="仿宋_GB2312" w:hAnsi="楷体" w:hint="eastAsia"/>
          <w:sz w:val="32"/>
          <w:szCs w:val="32"/>
        </w:rPr>
        <w:t>高质量发展奠定基础。</w:t>
      </w:r>
    </w:p>
    <w:p w:rsidR="007A1B00" w:rsidRDefault="007A1B00" w:rsidP="007A1B00">
      <w:pPr>
        <w:ind w:firstLineChars="200" w:firstLine="640"/>
        <w:rPr>
          <w:rFonts w:ascii="黑体" w:eastAsia="黑体" w:hAnsi="黑体"/>
          <w:sz w:val="32"/>
          <w:szCs w:val="32"/>
        </w:rPr>
      </w:pPr>
      <w:r>
        <w:rPr>
          <w:rFonts w:ascii="黑体" w:eastAsia="黑体" w:hAnsi="黑体" w:hint="eastAsia"/>
          <w:sz w:val="32"/>
          <w:szCs w:val="32"/>
        </w:rPr>
        <w:t>五、下阶段重点推进工作</w:t>
      </w:r>
    </w:p>
    <w:p w:rsidR="007A1B00" w:rsidRDefault="007A1B00" w:rsidP="007A1B00">
      <w:pPr>
        <w:ind w:firstLineChars="200" w:firstLine="640"/>
        <w:rPr>
          <w:rFonts w:ascii="仿宋" w:eastAsia="仿宋" w:hAnsi="仿宋"/>
          <w:sz w:val="32"/>
          <w:szCs w:val="32"/>
        </w:rPr>
      </w:pPr>
      <w:r>
        <w:rPr>
          <w:rFonts w:ascii="仿宋" w:eastAsia="仿宋" w:hAnsi="仿宋" w:hint="eastAsia"/>
          <w:sz w:val="32"/>
          <w:szCs w:val="32"/>
        </w:rPr>
        <w:t>下阶段，宁波市皮革行业协会将根据行业发展特点及整体经济的变化趋势，开展以下几方面的重点工作。</w:t>
      </w:r>
    </w:p>
    <w:p w:rsidR="007A1B00" w:rsidRDefault="007A1B00" w:rsidP="007A1B00">
      <w:pPr>
        <w:ind w:firstLineChars="200" w:firstLine="640"/>
        <w:rPr>
          <w:rFonts w:ascii="仿宋" w:eastAsia="仿宋" w:hAnsi="仿宋"/>
          <w:sz w:val="32"/>
          <w:szCs w:val="32"/>
        </w:rPr>
      </w:pPr>
      <w:r w:rsidRPr="00EC5413">
        <w:rPr>
          <w:rFonts w:ascii="楷体" w:eastAsia="楷体" w:hAnsi="楷体" w:hint="eastAsia"/>
          <w:sz w:val="32"/>
          <w:szCs w:val="32"/>
        </w:rPr>
        <w:t>1、推进团体标准实施。</w:t>
      </w:r>
      <w:r>
        <w:rPr>
          <w:rFonts w:ascii="仿宋" w:eastAsia="仿宋" w:hAnsi="仿宋" w:hint="eastAsia"/>
          <w:sz w:val="32"/>
          <w:szCs w:val="32"/>
        </w:rPr>
        <w:t>目前为止，协会已主持制定了《背提包》联盟标准及《儿童包（袋）》团体标准，《儿童包（袋）》团体标准实施企业已进行了5个月的实施工作，企业有了较好的改善，下半年，协会将邀请标准化方面的专家进企业指导标准实施工作，解决企业标准实施难题，通过标准实施提升行业标准化水平。</w:t>
      </w:r>
    </w:p>
    <w:p w:rsidR="007A1B00" w:rsidRDefault="007A1B00" w:rsidP="007A1B00">
      <w:pPr>
        <w:ind w:firstLineChars="200" w:firstLine="640"/>
        <w:rPr>
          <w:rFonts w:ascii="仿宋" w:eastAsia="仿宋" w:hAnsi="仿宋"/>
          <w:sz w:val="32"/>
          <w:szCs w:val="32"/>
        </w:rPr>
      </w:pPr>
      <w:r w:rsidRPr="00EC5413">
        <w:rPr>
          <w:rFonts w:ascii="楷体" w:eastAsia="楷体" w:hAnsi="楷体" w:hint="eastAsia"/>
          <w:sz w:val="32"/>
          <w:szCs w:val="32"/>
        </w:rPr>
        <w:t>2、提升行业设计技能水平。</w:t>
      </w:r>
      <w:r w:rsidRPr="001B5C68">
        <w:rPr>
          <w:rFonts w:ascii="仿宋" w:eastAsia="仿宋" w:hAnsi="仿宋" w:hint="eastAsia"/>
          <w:sz w:val="32"/>
          <w:szCs w:val="32"/>
        </w:rPr>
        <w:t>设计</w:t>
      </w:r>
      <w:r>
        <w:rPr>
          <w:rFonts w:ascii="仿宋" w:eastAsia="仿宋" w:hAnsi="仿宋" w:hint="eastAsia"/>
          <w:sz w:val="32"/>
          <w:szCs w:val="32"/>
        </w:rPr>
        <w:t>是皮革箱包行业保持创新、提升品质的重要一环。今年协会将组织开展一场时尚箱包设计技能竞赛。预计有四五十位设计师参赛，竞赛为箱包行业设计师们打造了良好的技术交流、比拼的平台，促进行业整体设计水平的提升，进一步加快时尚箱包行业的升级。</w:t>
      </w:r>
    </w:p>
    <w:p w:rsidR="007A1B00" w:rsidRPr="004970DE" w:rsidRDefault="007A1B00" w:rsidP="007A1B00">
      <w:pPr>
        <w:ind w:firstLineChars="200" w:firstLine="640"/>
        <w:rPr>
          <w:rFonts w:ascii="仿宋_GB2312" w:eastAsia="仿宋_GB2312" w:hAnsi="楷体"/>
          <w:sz w:val="32"/>
          <w:szCs w:val="32"/>
        </w:rPr>
      </w:pPr>
      <w:r w:rsidRPr="004970DE">
        <w:rPr>
          <w:rFonts w:ascii="楷体" w:eastAsia="楷体" w:hAnsi="楷体" w:hint="eastAsia"/>
          <w:sz w:val="32"/>
          <w:szCs w:val="32"/>
        </w:rPr>
        <w:lastRenderedPageBreak/>
        <w:t>3、扩大行业对外交流。</w:t>
      </w:r>
      <w:r w:rsidRPr="004970DE">
        <w:rPr>
          <w:rFonts w:ascii="仿宋" w:eastAsia="仿宋" w:hAnsi="仿宋" w:hint="eastAsia"/>
          <w:sz w:val="32"/>
          <w:szCs w:val="32"/>
        </w:rPr>
        <w:t>下半年，协会将做好宁波时尚节、广交会、中国国际皮革展等展会的组织参展、观展工作。同时为了应对中美贸易摩擦，协会也将组织企业前往新兴市场进行考察，帮助企业拓展商业渠道。</w:t>
      </w:r>
    </w:p>
    <w:p w:rsidR="007C6332" w:rsidRPr="007A1B00" w:rsidRDefault="00203E04" w:rsidP="007A1B00">
      <w:pPr>
        <w:widowControl/>
        <w:jc w:val="left"/>
        <w:rPr>
          <w:rFonts w:ascii="黑体" w:eastAsia="黑体" w:hAnsi="黑体"/>
          <w:sz w:val="32"/>
          <w:szCs w:val="32"/>
        </w:rPr>
      </w:pPr>
      <w:bookmarkStart w:id="0" w:name="_GoBack"/>
      <w:bookmarkEnd w:id="0"/>
    </w:p>
    <w:sectPr w:rsidR="007C6332" w:rsidRPr="007A1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04" w:rsidRDefault="00203E04" w:rsidP="007A1B00">
      <w:r>
        <w:separator/>
      </w:r>
    </w:p>
  </w:endnote>
  <w:endnote w:type="continuationSeparator" w:id="0">
    <w:p w:rsidR="00203E04" w:rsidRDefault="00203E04" w:rsidP="007A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04" w:rsidRDefault="00203E04" w:rsidP="007A1B00">
      <w:r>
        <w:separator/>
      </w:r>
    </w:p>
  </w:footnote>
  <w:footnote w:type="continuationSeparator" w:id="0">
    <w:p w:rsidR="00203E04" w:rsidRDefault="00203E04" w:rsidP="007A1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9A"/>
    <w:rsid w:val="000D2533"/>
    <w:rsid w:val="00203E04"/>
    <w:rsid w:val="007A1B00"/>
    <w:rsid w:val="0087309A"/>
    <w:rsid w:val="00F9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1B00"/>
    <w:rPr>
      <w:sz w:val="18"/>
      <w:szCs w:val="18"/>
    </w:rPr>
  </w:style>
  <w:style w:type="paragraph" w:styleId="a4">
    <w:name w:val="footer"/>
    <w:basedOn w:val="a"/>
    <w:link w:val="Char0"/>
    <w:uiPriority w:val="99"/>
    <w:unhideWhenUsed/>
    <w:rsid w:val="007A1B00"/>
    <w:pPr>
      <w:tabs>
        <w:tab w:val="center" w:pos="4153"/>
        <w:tab w:val="right" w:pos="8306"/>
      </w:tabs>
      <w:snapToGrid w:val="0"/>
      <w:jc w:val="left"/>
    </w:pPr>
    <w:rPr>
      <w:sz w:val="18"/>
      <w:szCs w:val="18"/>
    </w:rPr>
  </w:style>
  <w:style w:type="character" w:customStyle="1" w:styleId="Char0">
    <w:name w:val="页脚 Char"/>
    <w:basedOn w:val="a0"/>
    <w:link w:val="a4"/>
    <w:uiPriority w:val="99"/>
    <w:rsid w:val="007A1B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B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1B00"/>
    <w:rPr>
      <w:sz w:val="18"/>
      <w:szCs w:val="18"/>
    </w:rPr>
  </w:style>
  <w:style w:type="paragraph" w:styleId="a4">
    <w:name w:val="footer"/>
    <w:basedOn w:val="a"/>
    <w:link w:val="Char0"/>
    <w:uiPriority w:val="99"/>
    <w:unhideWhenUsed/>
    <w:rsid w:val="007A1B00"/>
    <w:pPr>
      <w:tabs>
        <w:tab w:val="center" w:pos="4153"/>
        <w:tab w:val="right" w:pos="8306"/>
      </w:tabs>
      <w:snapToGrid w:val="0"/>
      <w:jc w:val="left"/>
    </w:pPr>
    <w:rPr>
      <w:sz w:val="18"/>
      <w:szCs w:val="18"/>
    </w:rPr>
  </w:style>
  <w:style w:type="character" w:customStyle="1" w:styleId="Char0">
    <w:name w:val="页脚 Char"/>
    <w:basedOn w:val="a0"/>
    <w:link w:val="a4"/>
    <w:uiPriority w:val="99"/>
    <w:rsid w:val="007A1B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21333;&#20301;&#25991;&#20214;\&#34892;&#19994;&#32479;&#35745;\2019&#19978;&#21322;&#24180;&#24230;\&#25968;&#25454;&#20998;&#265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21333;&#20301;&#25991;&#20214;\&#34892;&#19994;&#32479;&#35745;\2019&#19978;&#21322;&#24180;&#24230;\&#25968;&#25454;&#20998;&#265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21333;&#20301;&#25991;&#20214;\&#34892;&#19994;&#32479;&#35745;\2019&#19978;&#21322;&#24180;&#24230;\&#25968;&#25454;&#20998;&#265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4037;&#20316;\&#21333;&#20301;&#25991;&#20214;\&#34892;&#19994;&#32479;&#35745;\2019&#19978;&#21322;&#24180;&#24230;\2019&#19978;&#21322;&#24180;&#25968;&#25454;&#20998;&#265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21333;&#20301;&#25991;&#20214;\&#34892;&#19994;&#32479;&#35745;\2019&#19978;&#21322;&#24180;&#24230;\&#25968;&#25454;&#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kern="1200">
                <a:solidFill>
                  <a:schemeClr val="tx1"/>
                </a:solidFill>
                <a:latin typeface="+mn-lt"/>
                <a:ea typeface="+mn-ea"/>
                <a:cs typeface="+mn-cs"/>
              </a:defRPr>
            </a:pPr>
            <a:r>
              <a:rPr lang="zh-CN" altLang="en-US" sz="1400"/>
              <a:t>主要经济指标图</a:t>
            </a:r>
          </a:p>
        </c:rich>
      </c:tx>
      <c:overlay val="0"/>
      <c:spPr>
        <a:noFill/>
        <a:ln>
          <a:noFill/>
        </a:ln>
        <a:effectLst/>
      </c:spPr>
    </c:title>
    <c:autoTitleDeleted val="0"/>
    <c:plotArea>
      <c:layout>
        <c:manualLayout>
          <c:layoutTarget val="inner"/>
          <c:xMode val="edge"/>
          <c:yMode val="edge"/>
          <c:x val="0.16805304190449699"/>
          <c:y val="0.13577263779527601"/>
          <c:w val="0.80766037178747696"/>
          <c:h val="0.616577810586177"/>
        </c:manualLayout>
      </c:layout>
      <c:barChart>
        <c:barDir val="col"/>
        <c:grouping val="clustered"/>
        <c:varyColors val="0"/>
        <c:ser>
          <c:idx val="0"/>
          <c:order val="0"/>
          <c:tx>
            <c:strRef>
              <c:f>Sheet1!$B$1</c:f>
              <c:strCache>
                <c:ptCount val="1"/>
                <c:pt idx="0">
                  <c:v>2019上半年</c:v>
                </c:pt>
              </c:strCache>
            </c:strRef>
          </c:tx>
          <c:spPr>
            <a:solidFill>
              <a:schemeClr val="accent1"/>
            </a:solidFill>
            <a:ln>
              <a:noFill/>
            </a:ln>
            <a:effectLst/>
          </c:spPr>
          <c:invertIfNegative val="0"/>
          <c:dPt>
            <c:idx val="0"/>
            <c:invertIfNegative val="0"/>
            <c:bubble3D val="0"/>
          </c:dPt>
          <c:cat>
            <c:strRef>
              <c:f>Sheet1!$A$2:$A$7</c:f>
              <c:strCache>
                <c:ptCount val="6"/>
                <c:pt idx="0">
                  <c:v>工业总产值</c:v>
                </c:pt>
                <c:pt idx="1">
                  <c:v>工业销售产值</c:v>
                </c:pt>
                <c:pt idx="2">
                  <c:v>新产品产值</c:v>
                </c:pt>
                <c:pt idx="3">
                  <c:v>主营业务收入</c:v>
                </c:pt>
                <c:pt idx="4">
                  <c:v>出口交货值</c:v>
                </c:pt>
                <c:pt idx="5">
                  <c:v>产销率</c:v>
                </c:pt>
              </c:strCache>
            </c:strRef>
          </c:cat>
          <c:val>
            <c:numRef>
              <c:f>Sheet1!$B$2:$B$7</c:f>
              <c:numCache>
                <c:formatCode>0.00_);[Red]\(0.00\)</c:formatCode>
                <c:ptCount val="6"/>
                <c:pt idx="0">
                  <c:v>10.220000000000001</c:v>
                </c:pt>
                <c:pt idx="1">
                  <c:v>10.17</c:v>
                </c:pt>
                <c:pt idx="2">
                  <c:v>1.04</c:v>
                </c:pt>
                <c:pt idx="3">
                  <c:v>9.91</c:v>
                </c:pt>
                <c:pt idx="4">
                  <c:v>5.44</c:v>
                </c:pt>
                <c:pt idx="5" formatCode="0.00%">
                  <c:v>0.99510763209393305</c:v>
                </c:pt>
              </c:numCache>
            </c:numRef>
          </c:val>
        </c:ser>
        <c:ser>
          <c:idx val="1"/>
          <c:order val="1"/>
          <c:tx>
            <c:strRef>
              <c:f>Sheet1!$C$1</c:f>
              <c:strCache>
                <c:ptCount val="1"/>
                <c:pt idx="0">
                  <c:v>2018上半年</c:v>
                </c:pt>
              </c:strCache>
            </c:strRef>
          </c:tx>
          <c:spPr>
            <a:solidFill>
              <a:schemeClr val="accent2"/>
            </a:solidFill>
            <a:ln>
              <a:noFill/>
            </a:ln>
            <a:effectLst/>
          </c:spPr>
          <c:invertIfNegative val="0"/>
          <c:cat>
            <c:strRef>
              <c:f>Sheet1!$A$2:$A$7</c:f>
              <c:strCache>
                <c:ptCount val="6"/>
                <c:pt idx="0">
                  <c:v>工业总产值</c:v>
                </c:pt>
                <c:pt idx="1">
                  <c:v>工业销售产值</c:v>
                </c:pt>
                <c:pt idx="2">
                  <c:v>新产品产值</c:v>
                </c:pt>
                <c:pt idx="3">
                  <c:v>主营业务收入</c:v>
                </c:pt>
                <c:pt idx="4">
                  <c:v>出口交货值</c:v>
                </c:pt>
                <c:pt idx="5">
                  <c:v>产销率</c:v>
                </c:pt>
              </c:strCache>
            </c:strRef>
          </c:cat>
          <c:val>
            <c:numRef>
              <c:f>Sheet1!$C$2:$C$7</c:f>
              <c:numCache>
                <c:formatCode>0.00_);[Red]\(0.00\)</c:formatCode>
                <c:ptCount val="6"/>
                <c:pt idx="0">
                  <c:v>10.029999999999999</c:v>
                </c:pt>
                <c:pt idx="1">
                  <c:v>9.86</c:v>
                </c:pt>
                <c:pt idx="2">
                  <c:v>0.96</c:v>
                </c:pt>
                <c:pt idx="3">
                  <c:v>9.43</c:v>
                </c:pt>
                <c:pt idx="4">
                  <c:v>5.53</c:v>
                </c:pt>
                <c:pt idx="5" formatCode="0.00%">
                  <c:v>0.98305084745762705</c:v>
                </c:pt>
              </c:numCache>
            </c:numRef>
          </c:val>
        </c:ser>
        <c:dLbls>
          <c:showLegendKey val="0"/>
          <c:showVal val="0"/>
          <c:showCatName val="0"/>
          <c:showSerName val="0"/>
          <c:showPercent val="0"/>
          <c:showBubbleSize val="0"/>
        </c:dLbls>
        <c:gapWidth val="150"/>
        <c:axId val="835116416"/>
        <c:axId val="835118208"/>
      </c:barChart>
      <c:catAx>
        <c:axId val="83511641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kern="1200">
                <a:solidFill>
                  <a:schemeClr val="tx1"/>
                </a:solidFill>
                <a:latin typeface="+mn-lt"/>
                <a:ea typeface="+mn-ea"/>
                <a:cs typeface="+mn-cs"/>
              </a:defRPr>
            </a:pPr>
            <a:endParaRPr lang="zh-CN"/>
          </a:p>
        </c:txPr>
        <c:crossAx val="835118208"/>
        <c:crosses val="autoZero"/>
        <c:auto val="1"/>
        <c:lblAlgn val="ctr"/>
        <c:lblOffset val="100"/>
        <c:noMultiLvlLbl val="0"/>
      </c:catAx>
      <c:valAx>
        <c:axId val="835118208"/>
        <c:scaling>
          <c:orientation val="minMax"/>
        </c:scaling>
        <c:delete val="0"/>
        <c:axPos val="l"/>
        <c:majorGridlines>
          <c:spPr>
            <a:ln w="9525" cap="flat" cmpd="sng" algn="ctr">
              <a:solidFill>
                <a:schemeClr val="tx1">
                  <a:lumMod val="50000"/>
                  <a:lumOff val="50000"/>
                </a:schemeClr>
              </a:solidFill>
              <a:prstDash val="solid"/>
              <a:round/>
            </a:ln>
            <a:effectLst/>
          </c:spPr>
        </c:majorGridlines>
        <c:title>
          <c:tx>
            <c:rich>
              <a:bodyPr rot="-5400000" spcFirstLastPara="0" vertOverflow="ellipsis" vert="horz" wrap="square" anchor="ctr" anchorCtr="1"/>
              <a:lstStyle/>
              <a:p>
                <a:pPr algn="ctr">
                  <a:defRPr lang="zh-CN" sz="1000" b="1" kern="1200">
                    <a:solidFill>
                      <a:schemeClr val="tx1"/>
                    </a:solidFill>
                    <a:latin typeface="+mn-lt"/>
                    <a:ea typeface="+mn-ea"/>
                    <a:cs typeface="+mn-cs"/>
                  </a:defRPr>
                </a:pPr>
                <a:r>
                  <a:rPr lang="zh-CN" altLang="en-US"/>
                  <a:t>单位：亿元</a:t>
                </a:r>
              </a:p>
            </c:rich>
          </c:tx>
          <c:layout>
            <c:manualLayout>
              <c:xMode val="edge"/>
              <c:yMode val="edge"/>
              <c:x val="2.1164021164021201E-2"/>
              <c:y val="0.40782919823701302"/>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kern="1200">
                <a:solidFill>
                  <a:schemeClr val="tx1"/>
                </a:solidFill>
                <a:latin typeface="+mn-lt"/>
                <a:ea typeface="+mn-ea"/>
                <a:cs typeface="+mn-cs"/>
              </a:defRPr>
            </a:pPr>
            <a:endParaRPr lang="zh-CN"/>
          </a:p>
        </c:txPr>
        <c:crossAx val="835116416"/>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rtl="0">
              <a:defRPr lang="zh-CN" sz="1000" b="0" kern="120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kern="1200">
                <a:solidFill>
                  <a:schemeClr val="tx1"/>
                </a:solidFill>
                <a:latin typeface="+mn-lt"/>
                <a:ea typeface="+mn-ea"/>
                <a:cs typeface="+mn-cs"/>
              </a:defRPr>
            </a:pPr>
            <a:r>
              <a:rPr lang="zh-CN" altLang="en-US" sz="1400"/>
              <a:t>企业盈利能力指标图</a:t>
            </a:r>
          </a:p>
        </c:rich>
      </c:tx>
      <c:overlay val="0"/>
      <c:spPr>
        <a:noFill/>
        <a:ln>
          <a:noFill/>
        </a:ln>
        <a:effectLst/>
      </c:spPr>
    </c:title>
    <c:autoTitleDeleted val="0"/>
    <c:plotArea>
      <c:layout/>
      <c:barChart>
        <c:barDir val="col"/>
        <c:grouping val="clustered"/>
        <c:varyColors val="0"/>
        <c:ser>
          <c:idx val="0"/>
          <c:order val="0"/>
          <c:tx>
            <c:strRef>
              <c:f>Sheet1!$B$21</c:f>
              <c:strCache>
                <c:ptCount val="1"/>
                <c:pt idx="0">
                  <c:v>2019上半年</c:v>
                </c:pt>
              </c:strCache>
            </c:strRef>
          </c:tx>
          <c:spPr>
            <a:solidFill>
              <a:schemeClr val="accent1"/>
            </a:solidFill>
            <a:ln>
              <a:noFill/>
            </a:ln>
            <a:effectLst/>
          </c:spPr>
          <c:invertIfNegative val="0"/>
          <c:cat>
            <c:strRef>
              <c:f>Sheet1!$A$23:$A$25</c:f>
              <c:strCache>
                <c:ptCount val="3"/>
                <c:pt idx="0">
                  <c:v>利税总额</c:v>
                </c:pt>
                <c:pt idx="1">
                  <c:v>利润总额</c:v>
                </c:pt>
                <c:pt idx="2">
                  <c:v>销售利润率</c:v>
                </c:pt>
              </c:strCache>
            </c:strRef>
          </c:cat>
          <c:val>
            <c:numRef>
              <c:f>Sheet1!$B$23:$B$25</c:f>
              <c:numCache>
                <c:formatCode>0.00_ </c:formatCode>
                <c:ptCount val="3"/>
                <c:pt idx="0">
                  <c:v>0.67</c:v>
                </c:pt>
                <c:pt idx="1">
                  <c:v>0.28000000000000003</c:v>
                </c:pt>
                <c:pt idx="2" formatCode="0.00%">
                  <c:v>2.8254288597376401E-2</c:v>
                </c:pt>
              </c:numCache>
            </c:numRef>
          </c:val>
        </c:ser>
        <c:ser>
          <c:idx val="1"/>
          <c:order val="1"/>
          <c:tx>
            <c:strRef>
              <c:f>Sheet1!$C$21</c:f>
              <c:strCache>
                <c:ptCount val="1"/>
                <c:pt idx="0">
                  <c:v>2018上半年</c:v>
                </c:pt>
              </c:strCache>
            </c:strRef>
          </c:tx>
          <c:spPr>
            <a:solidFill>
              <a:schemeClr val="accent2"/>
            </a:solidFill>
            <a:ln>
              <a:noFill/>
            </a:ln>
            <a:effectLst/>
          </c:spPr>
          <c:invertIfNegative val="0"/>
          <c:cat>
            <c:strRef>
              <c:f>Sheet1!$A$23:$A$25</c:f>
              <c:strCache>
                <c:ptCount val="3"/>
                <c:pt idx="0">
                  <c:v>利税总额</c:v>
                </c:pt>
                <c:pt idx="1">
                  <c:v>利润总额</c:v>
                </c:pt>
                <c:pt idx="2">
                  <c:v>销售利润率</c:v>
                </c:pt>
              </c:strCache>
            </c:strRef>
          </c:cat>
          <c:val>
            <c:numRef>
              <c:f>Sheet1!$C$23:$C$25</c:f>
              <c:numCache>
                <c:formatCode>0.00_ </c:formatCode>
                <c:ptCount val="3"/>
                <c:pt idx="0">
                  <c:v>0.7</c:v>
                </c:pt>
                <c:pt idx="1">
                  <c:v>0.28000000000000003</c:v>
                </c:pt>
                <c:pt idx="2" formatCode="0.00%">
                  <c:v>2.9692470837751901E-2</c:v>
                </c:pt>
              </c:numCache>
            </c:numRef>
          </c:val>
        </c:ser>
        <c:dLbls>
          <c:showLegendKey val="0"/>
          <c:showVal val="0"/>
          <c:showCatName val="0"/>
          <c:showSerName val="0"/>
          <c:showPercent val="0"/>
          <c:showBubbleSize val="0"/>
        </c:dLbls>
        <c:gapWidth val="150"/>
        <c:axId val="835472768"/>
        <c:axId val="835474560"/>
      </c:barChart>
      <c:catAx>
        <c:axId val="835472768"/>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kern="1200">
                <a:solidFill>
                  <a:schemeClr val="tx1"/>
                </a:solidFill>
                <a:latin typeface="+mn-lt"/>
                <a:ea typeface="+mn-ea"/>
                <a:cs typeface="+mn-cs"/>
              </a:defRPr>
            </a:pPr>
            <a:endParaRPr lang="zh-CN"/>
          </a:p>
        </c:txPr>
        <c:crossAx val="835474560"/>
        <c:crosses val="autoZero"/>
        <c:auto val="1"/>
        <c:lblAlgn val="ctr"/>
        <c:lblOffset val="100"/>
        <c:noMultiLvlLbl val="0"/>
      </c:catAx>
      <c:valAx>
        <c:axId val="835474560"/>
        <c:scaling>
          <c:orientation val="minMax"/>
        </c:scaling>
        <c:delete val="0"/>
        <c:axPos val="l"/>
        <c:majorGridlines>
          <c:spPr>
            <a:ln w="9525" cap="flat" cmpd="sng" algn="ctr">
              <a:solidFill>
                <a:schemeClr val="tx1">
                  <a:lumMod val="50000"/>
                  <a:lumOff val="50000"/>
                </a:schemeClr>
              </a:solidFill>
              <a:prstDash val="solid"/>
              <a:round/>
            </a:ln>
            <a:effectLst/>
          </c:spPr>
        </c:majorGridlines>
        <c:title>
          <c:tx>
            <c:rich>
              <a:bodyPr rot="-5400000" spcFirstLastPara="0" vertOverflow="ellipsis" vert="horz" wrap="square" anchor="ctr" anchorCtr="1"/>
              <a:lstStyle/>
              <a:p>
                <a:pPr algn="ctr">
                  <a:defRPr lang="zh-CN" sz="1000" b="1" kern="1200">
                    <a:solidFill>
                      <a:schemeClr val="tx1"/>
                    </a:solidFill>
                    <a:latin typeface="+mn-lt"/>
                    <a:ea typeface="+mn-ea"/>
                    <a:cs typeface="+mn-cs"/>
                  </a:defRPr>
                </a:pPr>
                <a:r>
                  <a:rPr lang="zh-CN" altLang="en-US"/>
                  <a:t>单位：亿元</a:t>
                </a:r>
              </a:p>
            </c:rich>
          </c:tx>
          <c:overlay val="0"/>
          <c:spPr>
            <a:noFill/>
            <a:ln>
              <a:noFill/>
            </a:ln>
            <a:effectLst/>
          </c:spPr>
        </c:title>
        <c:numFmt formatCode="0.00_ "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kern="1200">
                <a:solidFill>
                  <a:schemeClr val="tx1"/>
                </a:solidFill>
                <a:latin typeface="+mn-lt"/>
                <a:ea typeface="+mn-ea"/>
                <a:cs typeface="+mn-cs"/>
              </a:defRPr>
            </a:pPr>
            <a:endParaRPr lang="zh-CN"/>
          </a:p>
        </c:txPr>
        <c:crossAx val="835472768"/>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rtl="0">
              <a:defRPr lang="zh-CN" sz="1000" b="0" kern="120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kern="1200">
                <a:solidFill>
                  <a:schemeClr val="tx1"/>
                </a:solidFill>
                <a:latin typeface="+mn-lt"/>
                <a:ea typeface="+mn-ea"/>
                <a:cs typeface="+mn-cs"/>
              </a:defRPr>
            </a:pPr>
            <a:r>
              <a:rPr lang="zh-CN" altLang="en-US" sz="1400"/>
              <a:t>行业资产状况指标图</a:t>
            </a:r>
          </a:p>
        </c:rich>
      </c:tx>
      <c:overlay val="0"/>
      <c:spPr>
        <a:noFill/>
        <a:ln>
          <a:noFill/>
        </a:ln>
        <a:effectLst/>
      </c:spPr>
    </c:title>
    <c:autoTitleDeleted val="0"/>
    <c:plotArea>
      <c:layout/>
      <c:barChart>
        <c:barDir val="col"/>
        <c:grouping val="clustered"/>
        <c:varyColors val="0"/>
        <c:ser>
          <c:idx val="0"/>
          <c:order val="0"/>
          <c:tx>
            <c:strRef>
              <c:f>Sheet1!$B$38</c:f>
              <c:strCache>
                <c:ptCount val="1"/>
                <c:pt idx="0">
                  <c:v>2019上半年</c:v>
                </c:pt>
              </c:strCache>
            </c:strRef>
          </c:tx>
          <c:spPr>
            <a:solidFill>
              <a:schemeClr val="accent1"/>
            </a:solidFill>
            <a:ln>
              <a:noFill/>
            </a:ln>
            <a:effectLst/>
          </c:spPr>
          <c:invertIfNegative val="0"/>
          <c:cat>
            <c:strRef>
              <c:f>Sheet1!$A$39:$A$41</c:f>
              <c:strCache>
                <c:ptCount val="3"/>
                <c:pt idx="0">
                  <c:v>资产总额</c:v>
                </c:pt>
                <c:pt idx="1">
                  <c:v>负债总额</c:v>
                </c:pt>
                <c:pt idx="2">
                  <c:v>净资产</c:v>
                </c:pt>
              </c:strCache>
            </c:strRef>
          </c:cat>
          <c:val>
            <c:numRef>
              <c:f>Sheet1!$B$39:$B$41</c:f>
              <c:numCache>
                <c:formatCode>0.00_ </c:formatCode>
                <c:ptCount val="3"/>
                <c:pt idx="0">
                  <c:v>17.84</c:v>
                </c:pt>
                <c:pt idx="1">
                  <c:v>9.52</c:v>
                </c:pt>
                <c:pt idx="2">
                  <c:v>8.32</c:v>
                </c:pt>
              </c:numCache>
            </c:numRef>
          </c:val>
        </c:ser>
        <c:ser>
          <c:idx val="1"/>
          <c:order val="1"/>
          <c:tx>
            <c:strRef>
              <c:f>Sheet1!$C$38</c:f>
              <c:strCache>
                <c:ptCount val="1"/>
                <c:pt idx="0">
                  <c:v>2018上半年</c:v>
                </c:pt>
              </c:strCache>
            </c:strRef>
          </c:tx>
          <c:spPr>
            <a:solidFill>
              <a:schemeClr val="accent2"/>
            </a:solidFill>
            <a:ln>
              <a:noFill/>
            </a:ln>
            <a:effectLst/>
          </c:spPr>
          <c:invertIfNegative val="0"/>
          <c:cat>
            <c:strRef>
              <c:f>Sheet1!$A$39:$A$41</c:f>
              <c:strCache>
                <c:ptCount val="3"/>
                <c:pt idx="0">
                  <c:v>资产总额</c:v>
                </c:pt>
                <c:pt idx="1">
                  <c:v>负债总额</c:v>
                </c:pt>
                <c:pt idx="2">
                  <c:v>净资产</c:v>
                </c:pt>
              </c:strCache>
            </c:strRef>
          </c:cat>
          <c:val>
            <c:numRef>
              <c:f>Sheet1!$C$39:$C$41</c:f>
              <c:numCache>
                <c:formatCode>0.00_ </c:formatCode>
                <c:ptCount val="3"/>
                <c:pt idx="0">
                  <c:v>17.670000000000002</c:v>
                </c:pt>
                <c:pt idx="1">
                  <c:v>9.36</c:v>
                </c:pt>
                <c:pt idx="2">
                  <c:v>8.31</c:v>
                </c:pt>
              </c:numCache>
            </c:numRef>
          </c:val>
        </c:ser>
        <c:dLbls>
          <c:showLegendKey val="0"/>
          <c:showVal val="0"/>
          <c:showCatName val="0"/>
          <c:showSerName val="0"/>
          <c:showPercent val="0"/>
          <c:showBubbleSize val="0"/>
        </c:dLbls>
        <c:gapWidth val="150"/>
        <c:axId val="835087744"/>
        <c:axId val="837358720"/>
      </c:barChart>
      <c:catAx>
        <c:axId val="83508774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kern="1200">
                <a:solidFill>
                  <a:schemeClr val="tx1"/>
                </a:solidFill>
                <a:latin typeface="+mn-lt"/>
                <a:ea typeface="+mn-ea"/>
                <a:cs typeface="+mn-cs"/>
              </a:defRPr>
            </a:pPr>
            <a:endParaRPr lang="zh-CN"/>
          </a:p>
        </c:txPr>
        <c:crossAx val="837358720"/>
        <c:crosses val="autoZero"/>
        <c:auto val="1"/>
        <c:lblAlgn val="ctr"/>
        <c:lblOffset val="100"/>
        <c:noMultiLvlLbl val="0"/>
      </c:catAx>
      <c:valAx>
        <c:axId val="837358720"/>
        <c:scaling>
          <c:orientation val="minMax"/>
        </c:scaling>
        <c:delete val="0"/>
        <c:axPos val="l"/>
        <c:majorGridlines>
          <c:spPr>
            <a:ln w="9525" cap="flat" cmpd="sng" algn="ctr">
              <a:solidFill>
                <a:schemeClr val="tx1">
                  <a:lumMod val="50000"/>
                  <a:lumOff val="50000"/>
                </a:schemeClr>
              </a:solidFill>
              <a:prstDash val="solid"/>
              <a:round/>
            </a:ln>
            <a:effectLst/>
          </c:spPr>
        </c:majorGridlines>
        <c:title>
          <c:tx>
            <c:rich>
              <a:bodyPr rot="-5400000" spcFirstLastPara="0" vertOverflow="ellipsis" vert="horz" wrap="square" anchor="ctr" anchorCtr="1"/>
              <a:lstStyle/>
              <a:p>
                <a:pPr algn="ctr">
                  <a:defRPr lang="zh-CN" sz="1000" b="1" kern="1200">
                    <a:solidFill>
                      <a:schemeClr val="tx1"/>
                    </a:solidFill>
                    <a:latin typeface="+mn-lt"/>
                    <a:ea typeface="+mn-ea"/>
                    <a:cs typeface="+mn-cs"/>
                  </a:defRPr>
                </a:pPr>
                <a:r>
                  <a:rPr lang="zh-CN" altLang="en-US"/>
                  <a:t>单位：亿元</a:t>
                </a:r>
              </a:p>
            </c:rich>
          </c:tx>
          <c:overlay val="0"/>
          <c:spPr>
            <a:noFill/>
            <a:ln>
              <a:noFill/>
            </a:ln>
            <a:effectLst/>
          </c:spPr>
        </c:title>
        <c:numFmt formatCode="0.00_ "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kern="1200">
                <a:solidFill>
                  <a:schemeClr val="tx1"/>
                </a:solidFill>
                <a:latin typeface="+mn-lt"/>
                <a:ea typeface="+mn-ea"/>
                <a:cs typeface="+mn-cs"/>
              </a:defRPr>
            </a:pPr>
            <a:endParaRPr lang="zh-CN"/>
          </a:p>
        </c:txPr>
        <c:crossAx val="835087744"/>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rtl="0">
              <a:defRPr lang="zh-CN" sz="1000" b="0" kern="1200">
                <a:solidFill>
                  <a:schemeClr val="tx1"/>
                </a:solidFill>
                <a:latin typeface="+mn-lt"/>
                <a:ea typeface="+mn-ea"/>
                <a:cs typeface="+mn-cs"/>
              </a:defRPr>
            </a:pPr>
            <a:endParaRPr lang="zh-CN"/>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17899539076596"/>
          <c:y val="0.15662864559646753"/>
          <c:w val="0.58549696351506952"/>
          <c:h val="0.7921668333806694"/>
        </c:manualLayout>
      </c:layout>
      <c:pieChart>
        <c:varyColors val="1"/>
        <c:ser>
          <c:idx val="0"/>
          <c:order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Sheet1!$A$54:$A$58</c:f>
              <c:strCache>
                <c:ptCount val="5"/>
                <c:pt idx="0">
                  <c:v>箱包</c:v>
                </c:pt>
                <c:pt idx="1">
                  <c:v>制鞋</c:v>
                </c:pt>
                <c:pt idx="2">
                  <c:v>皮革化工</c:v>
                </c:pt>
                <c:pt idx="3">
                  <c:v>合成革</c:v>
                </c:pt>
                <c:pt idx="4">
                  <c:v>其他</c:v>
                </c:pt>
              </c:strCache>
            </c:strRef>
          </c:cat>
          <c:val>
            <c:numRef>
              <c:f>Sheet1!$C$54:$C$58</c:f>
              <c:numCache>
                <c:formatCode>0.00%</c:formatCode>
                <c:ptCount val="5"/>
                <c:pt idx="0">
                  <c:v>0.60665362035225046</c:v>
                </c:pt>
                <c:pt idx="1">
                  <c:v>0.11252446183953031</c:v>
                </c:pt>
                <c:pt idx="2">
                  <c:v>0.11741682974559686</c:v>
                </c:pt>
                <c:pt idx="3">
                  <c:v>9.8825831702544026E-2</c:v>
                </c:pt>
                <c:pt idx="4">
                  <c:v>6.4579256360078274E-2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zh-CN"/>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x-none" sz="1800" b="1" kern="1200">
                <a:solidFill>
                  <a:schemeClr val="tx1"/>
                </a:solidFill>
                <a:latin typeface="+mn-lt"/>
                <a:ea typeface="+mn-ea"/>
                <a:cs typeface="+mn-cs"/>
              </a:defRPr>
            </a:pPr>
            <a:r>
              <a:rPr lang="zh-CN" altLang="en-US" sz="1400"/>
              <a:t>细分行业产值指标图</a:t>
            </a:r>
          </a:p>
        </c:rich>
      </c:tx>
      <c:overlay val="0"/>
    </c:title>
    <c:autoTitleDeleted val="0"/>
    <c:plotArea>
      <c:layout/>
      <c:barChart>
        <c:barDir val="col"/>
        <c:grouping val="clustered"/>
        <c:varyColors val="0"/>
        <c:ser>
          <c:idx val="0"/>
          <c:order val="0"/>
          <c:tx>
            <c:strRef>
              <c:f>Sheet1!$B$69</c:f>
              <c:strCache>
                <c:ptCount val="1"/>
                <c:pt idx="0">
                  <c:v>2019上半年</c:v>
                </c:pt>
              </c:strCache>
            </c:strRef>
          </c:tx>
          <c:invertIfNegative val="0"/>
          <c:cat>
            <c:strRef>
              <c:f>Sheet1!$A$70:$A$73</c:f>
              <c:strCache>
                <c:ptCount val="4"/>
                <c:pt idx="0">
                  <c:v>箱包</c:v>
                </c:pt>
                <c:pt idx="1">
                  <c:v>制鞋</c:v>
                </c:pt>
                <c:pt idx="2">
                  <c:v>皮革化工</c:v>
                </c:pt>
                <c:pt idx="3">
                  <c:v>合成革</c:v>
                </c:pt>
              </c:strCache>
            </c:strRef>
          </c:cat>
          <c:val>
            <c:numRef>
              <c:f>Sheet1!$B$70:$B$73</c:f>
              <c:numCache>
                <c:formatCode>General</c:formatCode>
                <c:ptCount val="4"/>
                <c:pt idx="0">
                  <c:v>6.2</c:v>
                </c:pt>
                <c:pt idx="1">
                  <c:v>1.1499999999999999</c:v>
                </c:pt>
                <c:pt idx="2">
                  <c:v>1.2</c:v>
                </c:pt>
                <c:pt idx="3">
                  <c:v>1.01</c:v>
                </c:pt>
              </c:numCache>
            </c:numRef>
          </c:val>
        </c:ser>
        <c:ser>
          <c:idx val="1"/>
          <c:order val="1"/>
          <c:tx>
            <c:strRef>
              <c:f>Sheet1!$C$69</c:f>
              <c:strCache>
                <c:ptCount val="1"/>
                <c:pt idx="0">
                  <c:v>2018上半年</c:v>
                </c:pt>
              </c:strCache>
            </c:strRef>
          </c:tx>
          <c:invertIfNegative val="0"/>
          <c:cat>
            <c:strRef>
              <c:f>Sheet1!$A$70:$A$73</c:f>
              <c:strCache>
                <c:ptCount val="4"/>
                <c:pt idx="0">
                  <c:v>箱包</c:v>
                </c:pt>
                <c:pt idx="1">
                  <c:v>制鞋</c:v>
                </c:pt>
                <c:pt idx="2">
                  <c:v>皮革化工</c:v>
                </c:pt>
                <c:pt idx="3">
                  <c:v>合成革</c:v>
                </c:pt>
              </c:strCache>
            </c:strRef>
          </c:cat>
          <c:val>
            <c:numRef>
              <c:f>Sheet1!$C$70:$C$73</c:f>
              <c:numCache>
                <c:formatCode>General</c:formatCode>
                <c:ptCount val="4"/>
                <c:pt idx="0">
                  <c:v>6.1</c:v>
                </c:pt>
                <c:pt idx="1">
                  <c:v>1.1000000000000001</c:v>
                </c:pt>
                <c:pt idx="2">
                  <c:v>1.19</c:v>
                </c:pt>
                <c:pt idx="3">
                  <c:v>0.98</c:v>
                </c:pt>
              </c:numCache>
            </c:numRef>
          </c:val>
        </c:ser>
        <c:dLbls>
          <c:showLegendKey val="0"/>
          <c:showVal val="0"/>
          <c:showCatName val="0"/>
          <c:showSerName val="0"/>
          <c:showPercent val="0"/>
          <c:showBubbleSize val="0"/>
        </c:dLbls>
        <c:gapWidth val="150"/>
        <c:axId val="1316997376"/>
        <c:axId val="1433866240"/>
      </c:barChart>
      <c:catAx>
        <c:axId val="1316997376"/>
        <c:scaling>
          <c:orientation val="minMax"/>
        </c:scaling>
        <c:delete val="0"/>
        <c:axPos val="b"/>
        <c:majorTickMark val="none"/>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zh-CN"/>
          </a:p>
        </c:txPr>
        <c:crossAx val="1433866240"/>
        <c:crosses val="autoZero"/>
        <c:auto val="1"/>
        <c:lblAlgn val="ctr"/>
        <c:lblOffset val="100"/>
        <c:noMultiLvlLbl val="0"/>
      </c:catAx>
      <c:valAx>
        <c:axId val="1433866240"/>
        <c:scaling>
          <c:orientation val="minMax"/>
        </c:scaling>
        <c:delete val="0"/>
        <c:axPos val="l"/>
        <c:majorGridlines/>
        <c:title>
          <c:tx>
            <c:rich>
              <a:bodyPr rot="-5400000" spcFirstLastPara="0" vertOverflow="ellipsis" vert="horz" wrap="square" anchor="ctr" anchorCtr="1"/>
              <a:lstStyle/>
              <a:p>
                <a:pPr>
                  <a:defRPr lang="x-none" sz="1000" b="1" kern="1200">
                    <a:solidFill>
                      <a:schemeClr val="tx1"/>
                    </a:solidFill>
                    <a:latin typeface="+mn-lt"/>
                    <a:ea typeface="+mn-ea"/>
                    <a:cs typeface="+mn-cs"/>
                  </a:defRPr>
                </a:pPr>
                <a:r>
                  <a:rPr lang="zh-CN" altLang="en-US"/>
                  <a:t>单位：亿元</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zh-CN"/>
          </a:p>
        </c:txPr>
        <c:crossAx val="1316997376"/>
        <c:crosses val="autoZero"/>
        <c:crossBetween val="between"/>
      </c:valAx>
      <c:dTable>
        <c:showHorzBorder val="1"/>
        <c:showVertBorder val="1"/>
        <c:showOutline val="1"/>
        <c:showKeys val="1"/>
        <c:txPr>
          <a:bodyPr rot="0" spcFirstLastPara="0" vertOverflow="ellipsis" vert="horz" wrap="square" anchor="ctr" anchorCtr="1"/>
          <a:lstStyle/>
          <a:p>
            <a:pPr rtl="0">
              <a:defRPr lang="x-none" sz="1000" kern="1200">
                <a:solidFill>
                  <a:schemeClr val="tx1"/>
                </a:solidFill>
                <a:latin typeface="+mn-lt"/>
                <a:ea typeface="+mn-ea"/>
                <a:cs typeface="+mn-cs"/>
              </a:defRPr>
            </a:pPr>
            <a:endParaRPr lang="zh-CN"/>
          </a:p>
        </c:txPr>
      </c:dTable>
    </c:plotArea>
    <c:plotVisOnly val="1"/>
    <c:dispBlanksAs val="gap"/>
    <c:showDLblsOverMax val="0"/>
  </c:chart>
  <c:txPr>
    <a:bodyPr/>
    <a:lstStyle/>
    <a:p>
      <a:pPr>
        <a:defRPr lang="x-none"/>
      </a:pPr>
      <a:endParaRPr lang="zh-CN"/>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0.20208</cdr:x>
      <cdr:y>0.0111</cdr:y>
    </cdr:from>
    <cdr:to>
      <cdr:x>0.79375</cdr:x>
      <cdr:y>0.1375</cdr:y>
    </cdr:to>
    <cdr:sp macro="" textlink="">
      <cdr:nvSpPr>
        <cdr:cNvPr id="2" name="TextBox 1"/>
        <cdr:cNvSpPr txBox="1"/>
      </cdr:nvSpPr>
      <cdr:spPr>
        <a:xfrm xmlns:a="http://schemas.openxmlformats.org/drawingml/2006/main">
          <a:off x="923925" y="37317"/>
          <a:ext cx="2705115" cy="4249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400" b="1"/>
            <a:t>细分行业工业总产值所占比例</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nblia@126.com</dc:creator>
  <cp:keywords/>
  <dc:description/>
  <cp:lastModifiedBy>nblia@126.com</cp:lastModifiedBy>
  <cp:revision>2</cp:revision>
  <dcterms:created xsi:type="dcterms:W3CDTF">2020-11-02T03:09:00Z</dcterms:created>
  <dcterms:modified xsi:type="dcterms:W3CDTF">2020-11-02T03:10:00Z</dcterms:modified>
</cp:coreProperties>
</file>