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创艺简标宋" w:eastAsia="创艺简标宋"/>
          <w:color w:val="FF0000"/>
          <w:spacing w:val="-40"/>
          <w:kern w:val="0"/>
          <w:sz w:val="70"/>
          <w:szCs w:val="70"/>
        </w:rPr>
        <w:pict>
          <v:shape id="_x0000_i1025" o:spt="136" type="#_x0000_t136" style="height:37.5pt;width:415.5pt;" fillcolor="#FF0000" filled="t" stroked="f" coordsize="21600,21600">
            <v:path/>
            <v:fill on="t" focussize="0,0"/>
            <v:stroke on="f"/>
            <v:imagedata o:title=""/>
            <o:lock v:ext="edit" text="f"/>
            <v:textpath on="t" fitshape="t" fitpath="t" trim="t" xscale="f" string="宁波市电工电气行业协会文件" style="font-family:创艺简标宋;font-size:28pt;v-text-align:center;"/>
            <w10:wrap type="none"/>
            <w10:anchorlock/>
          </v:shape>
        </w:pic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525780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25pt;margin-top:0.6pt;height:0pt;width:414pt;z-index:251659264;mso-width-relative:page;mso-height-relative:page;" filled="f" stroked="t" coordsize="21600,21600" o:gfxdata="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+7LaNMAAAAGAQAADwAAAAAAAAABACAAAAAiAAAAZHJzL2Rvd25yZXYueG1sUEsBAhQA&#10;FAAAAAgAh07iQLgHRBD3AQAA5AMAAA4AAAAAAAAAAQAgAAAAI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关于组织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电气工程及其自动化相关专业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专升本学历班报名的通知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各会员企业：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40"/>
        <w:jc w:val="both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Hans"/>
        </w:rPr>
        <w:t>为探索终身学习型社会的浙江示范，推进宁波市企业职工素质提升工程，加强人才管理和培养，全面提升会员企业人才队伍素质，探索产教合作新模式，助推“246”万千亿级产业集群的发展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。宁波市电工电气行业协会</w:t>
      </w:r>
      <w:r>
        <w:rPr>
          <w:rFonts w:hint="eastAsia" w:ascii="华文仿宋" w:hAnsi="华文仿宋" w:eastAsia="华文仿宋"/>
          <w:sz w:val="28"/>
          <w:szCs w:val="28"/>
          <w:lang w:val="en-US" w:eastAsia="zh-Hans"/>
        </w:rPr>
        <w:t>与浙大宁波理工学院继续教育学院</w:t>
      </w:r>
      <w:r>
        <w:rPr>
          <w:rFonts w:hint="eastAsia" w:ascii="华文仿宋" w:hAnsi="华文仿宋" w:eastAsia="华文仿宋"/>
          <w:sz w:val="28"/>
          <w:szCs w:val="28"/>
        </w:rPr>
        <w:t>达成共识，部署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宁波电工电气行业企业</w:t>
      </w:r>
      <w:r>
        <w:rPr>
          <w:rFonts w:hint="eastAsia" w:ascii="华文仿宋" w:hAnsi="华文仿宋" w:eastAsia="华文仿宋"/>
          <w:sz w:val="28"/>
          <w:szCs w:val="28"/>
        </w:rPr>
        <w:t>员工学历提升三年行动计划，具体依托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浙大理工大学</w:t>
      </w:r>
      <w:r>
        <w:rPr>
          <w:rFonts w:hint="eastAsia" w:ascii="华文仿宋" w:hAnsi="华文仿宋" w:eastAsia="华文仿宋"/>
          <w:sz w:val="28"/>
          <w:szCs w:val="28"/>
        </w:rPr>
        <w:t>良好的教学、科研、师资条件，联合组织开设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2022年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电气工程及其自动化</w:t>
      </w:r>
      <w:r>
        <w:rPr>
          <w:rFonts w:hint="eastAsia" w:ascii="华文仿宋" w:hAnsi="华文仿宋" w:eastAsia="华文仿宋"/>
          <w:sz w:val="28"/>
          <w:szCs w:val="28"/>
        </w:rPr>
        <w:t>相关专业专升本学历班，通过校企合作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/>
          <w:sz w:val="28"/>
          <w:szCs w:val="28"/>
        </w:rPr>
        <w:t>争取部分学费补贴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/>
          <w:sz w:val="28"/>
          <w:szCs w:val="28"/>
          <w:lang w:val="en-US" w:eastAsia="zh-Hans"/>
        </w:rPr>
        <w:t>有效开发人力资本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。</w:t>
      </w:r>
      <w:r>
        <w:rPr>
          <w:rFonts w:hint="eastAsia" w:ascii="华文仿宋" w:hAnsi="华文仿宋" w:eastAsia="华文仿宋"/>
          <w:sz w:val="28"/>
          <w:szCs w:val="28"/>
        </w:rPr>
        <w:t>现将有关事项具体通知如下：</w:t>
      </w:r>
    </w:p>
    <w:p>
      <w:pPr>
        <w:pStyle w:val="10"/>
        <w:ind w:firstLine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一、主办单位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宁波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市电工电气</w:t>
      </w:r>
      <w:r>
        <w:rPr>
          <w:rFonts w:hint="eastAsia" w:ascii="仿宋" w:hAnsi="仿宋" w:eastAsia="仿宋" w:cs="仿宋"/>
          <w:sz w:val="28"/>
          <w:szCs w:val="28"/>
        </w:rPr>
        <w:t>行业协会、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浙大宁波理工大学</w:t>
      </w:r>
      <w:r>
        <w:rPr>
          <w:rFonts w:hint="eastAsia" w:ascii="仿宋" w:hAnsi="仿宋" w:eastAsia="仿宋" w:cs="仿宋"/>
          <w:sz w:val="28"/>
          <w:szCs w:val="28"/>
        </w:rPr>
        <w:t>继续教育学院</w:t>
      </w:r>
    </w:p>
    <w:p>
      <w:pPr>
        <w:numPr>
          <w:ilvl w:val="0"/>
          <w:numId w:val="1"/>
        </w:num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招生专业</w:t>
      </w:r>
    </w:p>
    <w:tbl>
      <w:tblPr>
        <w:tblStyle w:val="4"/>
        <w:tblW w:w="7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764"/>
        <w:gridCol w:w="1094"/>
        <w:gridCol w:w="184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专业名称</w:t>
            </w:r>
          </w:p>
        </w:tc>
        <w:tc>
          <w:tcPr>
            <w:tcW w:w="109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层次</w:t>
            </w: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考试科类</w:t>
            </w:r>
          </w:p>
        </w:tc>
        <w:tc>
          <w:tcPr>
            <w:tcW w:w="99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电子信息工程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专升本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理工类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机械设计制造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及其自动化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土木工程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电气工程及其自动化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化学工程与工艺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电子商务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经济管理类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工程管理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财务管理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4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6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法学</w:t>
            </w:r>
          </w:p>
        </w:tc>
        <w:tc>
          <w:tcPr>
            <w:tcW w:w="109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法学类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学制及学费</w:t>
      </w:r>
    </w:p>
    <w:p>
      <w:pPr>
        <w:numPr>
          <w:ilvl w:val="0"/>
          <w:numId w:val="3"/>
        </w:numPr>
        <w:ind w:firstLine="562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最短学习年限为2.5年。</w:t>
      </w:r>
    </w:p>
    <w:p>
      <w:pPr>
        <w:numPr>
          <w:ilvl w:val="0"/>
          <w:numId w:val="3"/>
        </w:numPr>
        <w:ind w:firstLine="562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学费严格按浙江省物价局、财政厅、教育厅批文规定的收费标准执行。理工类（专升本）每生每年3000元；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总学费为 3000×3=9000元，经济管理、法学类、文史类（专升本）每生每年2700元，总学费为2700×3=8100元，考前辅导及教材费400元（自愿报名）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受疫情影响，学院推出网络平台授课，此项目无需另外收费。</w:t>
      </w:r>
    </w:p>
    <w:p>
      <w:pPr>
        <w:pStyle w:val="10"/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通过协会统一报名考生享受总学费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15%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的优惠。</w:t>
      </w:r>
    </w:p>
    <w:p>
      <w:pPr>
        <w:pStyle w:val="10"/>
        <w:ind w:firstLine="56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4、</w:t>
      </w:r>
      <w:r>
        <w:rPr>
          <w:rFonts w:hint="eastAsia" w:ascii="华文仿宋" w:hAnsi="华文仿宋" w:eastAsia="华文仿宋"/>
          <w:sz w:val="28"/>
          <w:szCs w:val="28"/>
        </w:rPr>
        <w:t>自即日起接受报名，优惠活动截止到202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2年</w:t>
      </w:r>
      <w:r>
        <w:rPr>
          <w:rFonts w:hint="eastAsia" w:ascii="华文仿宋" w:hAnsi="华文仿宋" w:eastAsia="华文仿宋"/>
          <w:color w:val="auto"/>
          <w:sz w:val="28"/>
          <w:szCs w:val="28"/>
          <w:lang w:val="en-US" w:eastAsia="zh-CN"/>
        </w:rPr>
        <w:t>9月10日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pStyle w:val="10"/>
        <w:ind w:firstLine="56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5、2022年的入学批次截止到2022年</w:t>
      </w:r>
      <w:r>
        <w:rPr>
          <w:rFonts w:hint="eastAsia" w:ascii="华文仿宋" w:hAnsi="华文仿宋" w:eastAsia="华文仿宋"/>
          <w:color w:val="auto"/>
          <w:sz w:val="28"/>
          <w:szCs w:val="28"/>
          <w:lang w:val="en-US" w:eastAsia="zh-CN"/>
        </w:rPr>
        <w:t>9月中旬之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前，逾期报名则入学转为下一批次。</w:t>
      </w: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报名条件和方式</w:t>
      </w:r>
    </w:p>
    <w:p>
      <w:pPr>
        <w:pStyle w:val="10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、参加专升本考生须国民教育系列专科毕业或本科结业。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、由各会员单位组织报名，报考人员先填写《预报名回执表》，经协会初审通过后进行网上报名，《预报名回执表》于202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8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日前交协会秘书处。</w:t>
      </w:r>
    </w:p>
    <w:p>
      <w:pPr>
        <w:spacing w:line="360" w:lineRule="auto"/>
        <w:ind w:firstLine="56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3.网上报名时间约9月中旬，具体以省考试院公布为准。</w:t>
      </w:r>
    </w:p>
    <w:p>
      <w:pPr>
        <w:numPr>
          <w:ilvl w:val="0"/>
          <w:numId w:val="2"/>
        </w:numPr>
        <w:spacing w:line="360" w:lineRule="auto"/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入学考试</w:t>
      </w:r>
    </w:p>
    <w:p>
      <w:pPr>
        <w:pStyle w:val="10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ascii="华文仿宋" w:hAnsi="华文仿宋" w:eastAsia="华文仿宋"/>
          <w:sz w:val="28"/>
          <w:szCs w:val="28"/>
        </w:rPr>
        <w:t>、</w:t>
      </w:r>
      <w:r>
        <w:rPr>
          <w:rFonts w:hint="eastAsia" w:ascii="华文仿宋" w:hAnsi="华文仿宋" w:eastAsia="华文仿宋"/>
          <w:sz w:val="28"/>
          <w:szCs w:val="28"/>
        </w:rPr>
        <w:t>考生参加浙江省教育考试院组织的统一考试，考试时间一般安排在10月中旬。</w:t>
      </w:r>
    </w:p>
    <w:p>
      <w:pPr>
        <w:pStyle w:val="10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2</w:t>
      </w:r>
      <w:r>
        <w:rPr>
          <w:rFonts w:ascii="华文仿宋" w:hAnsi="华文仿宋" w:eastAsia="华文仿宋"/>
          <w:sz w:val="28"/>
          <w:szCs w:val="28"/>
        </w:rPr>
        <w:t>、</w:t>
      </w:r>
      <w:r>
        <w:rPr>
          <w:rFonts w:hint="eastAsia" w:ascii="华文仿宋" w:hAnsi="华文仿宋" w:eastAsia="华文仿宋"/>
          <w:sz w:val="28"/>
          <w:szCs w:val="28"/>
        </w:rPr>
        <w:t>专升本入学考试科目为政治、英语、高等数学，每科150分，总分450分（前几年录取线为120分</w:t>
      </w:r>
      <w:r>
        <w:rPr>
          <w:rFonts w:ascii="华文仿宋" w:hAnsi="华文仿宋" w:eastAsia="华文仿宋"/>
          <w:sz w:val="28"/>
          <w:szCs w:val="28"/>
        </w:rPr>
        <w:t>，年满25周岁报考加20分</w:t>
      </w:r>
      <w:r>
        <w:rPr>
          <w:rFonts w:hint="eastAsia" w:ascii="华文仿宋" w:hAnsi="华文仿宋" w:eastAsia="华文仿宋"/>
          <w:sz w:val="28"/>
          <w:szCs w:val="28"/>
        </w:rPr>
        <w:t>）。</w:t>
      </w: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录取方式</w:t>
      </w:r>
    </w:p>
    <w:p>
      <w:pPr>
        <w:pStyle w:val="10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考生考试成绩达到投档分数线后，由学校根据“从高分到低分择优录取”原则，决定考生录取与否。</w:t>
      </w: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教学方式</w:t>
      </w:r>
    </w:p>
    <w:p>
      <w:pPr>
        <w:pStyle w:val="10"/>
        <w:ind w:firstLine="560"/>
        <w:rPr>
          <w:rFonts w:hint="eastAsia" w:ascii="华文仿宋" w:hAnsi="华文仿宋" w:eastAsia="华文仿宋" w:cs="Times New Roman"/>
          <w:sz w:val="28"/>
          <w:szCs w:val="28"/>
          <w:lang w:eastAsia="zh-CN"/>
        </w:rPr>
      </w:pP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受疫情影响，</w:t>
      </w:r>
      <w:r>
        <w:rPr>
          <w:rFonts w:hint="eastAsia" w:ascii="华文仿宋" w:hAnsi="华文仿宋" w:eastAsia="华文仿宋" w:cs="Times New Roman"/>
          <w:sz w:val="28"/>
          <w:szCs w:val="28"/>
        </w:rPr>
        <w:t>采用网络学习的方式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学历/学位证书</w:t>
      </w:r>
    </w:p>
    <w:p>
      <w:pPr>
        <w:pStyle w:val="10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学员修满本专业教学计划规定的全部课程，成绩合格，符合毕业条件者，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由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浙大理工大学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颁发经国家教育部电子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统一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注册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统一印制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的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国民教育系列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成人高等教育毕业文凭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；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符合学士学位条件的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学员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可获得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浙大宁波理工学士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学位证书。</w:t>
      </w:r>
    </w:p>
    <w:p>
      <w:pPr>
        <w:numPr>
          <w:ilvl w:val="0"/>
          <w:numId w:val="2"/>
        </w:numPr>
        <w:ind w:left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报名咨询</w:t>
      </w:r>
    </w:p>
    <w:p>
      <w:pPr>
        <w:spacing w:line="420" w:lineRule="exact"/>
        <w:ind w:firstLine="560" w:firstLineChars="20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秘书处联系电话：李家康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87809735  13056930696</w:t>
      </w:r>
    </w:p>
    <w:p>
      <w:pPr>
        <w:pStyle w:val="10"/>
        <w:ind w:firstLine="560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李立群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15306663746 胡湾湾 15067428286 俞佳寅 18967155137</w:t>
      </w:r>
    </w:p>
    <w:p>
      <w:pPr>
        <w:pStyle w:val="10"/>
        <w:ind w:firstLine="56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协会邮箱：</w:t>
      </w:r>
      <w:r>
        <w:rPr>
          <w:rFonts w:hint="eastAsia" w:eastAsia="华文仿宋"/>
          <w:sz w:val="28"/>
          <w:szCs w:val="28"/>
          <w:lang w:val="en-US" w:eastAsia="zh-CN"/>
        </w:rPr>
        <w:t>nbeaiea@126.com</w:t>
      </w:r>
      <w:r>
        <w:rPr>
          <w:rFonts w:hint="eastAsia" w:ascii="华文仿宋" w:hAnsi="华文仿宋" w:eastAsia="华文仿宋"/>
          <w:sz w:val="28"/>
          <w:szCs w:val="28"/>
        </w:rPr>
        <w:t xml:space="preserve">       </w:t>
      </w: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附件：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hint="eastAsia" w:ascii="华文仿宋" w:hAnsi="华文仿宋" w:eastAsia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 xml:space="preserve">预报名回执表    </w:t>
      </w:r>
    </w:p>
    <w:p>
      <w:pPr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36"/>
          <w:szCs w:val="36"/>
        </w:rPr>
        <w:t>单位：</w:t>
      </w:r>
    </w:p>
    <w:tbl>
      <w:tblPr>
        <w:tblStyle w:val="5"/>
        <w:tblW w:w="9600" w:type="dxa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85"/>
        <w:gridCol w:w="1572"/>
        <w:gridCol w:w="948"/>
        <w:gridCol w:w="1695"/>
        <w:gridCol w:w="8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出生年月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学历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预报专业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9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8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宁波市电工电气行业协会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2022年8月5日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524ABE"/>
    <w:multiLevelType w:val="singleLevel"/>
    <w:tmpl w:val="24524A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E51760"/>
    <w:multiLevelType w:val="singleLevel"/>
    <w:tmpl w:val="6EE517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09561A"/>
    <w:multiLevelType w:val="singleLevel"/>
    <w:tmpl w:val="730956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TJiYWU2MTE5MzY0MDhkYzcxMTU3NzY0N2MxZWQifQ=="/>
  </w:docVars>
  <w:rsids>
    <w:rsidRoot w:val="0058121B"/>
    <w:rsid w:val="0058121B"/>
    <w:rsid w:val="00E229DD"/>
    <w:rsid w:val="00F92780"/>
    <w:rsid w:val="138967D0"/>
    <w:rsid w:val="46A52692"/>
    <w:rsid w:val="5AA20821"/>
    <w:rsid w:val="635C4C4F"/>
    <w:rsid w:val="79D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1128</Words>
  <Characters>1258</Characters>
  <Lines>1</Lines>
  <Paragraphs>1</Paragraphs>
  <TotalTime>11</TotalTime>
  <ScaleCrop>false</ScaleCrop>
  <LinksUpToDate>false</LinksUpToDate>
  <CharactersWithSpaces>1318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2018-03-19T06:48:00Z</dcterms:created>
  <dc:creator>Admin</dc:creator>
  <cp:lastModifiedBy>wanwan hu</cp:lastModifiedBy>
  <dcterms:modified xsi:type="dcterms:W3CDTF">2022-08-19T06:32:26Z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4DEBCD561EAE403186D1447FCA52BE44</vt:lpwstr>
  </property>
</Properties>
</file>