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inorEastAsia" w:hAnsiTheme="minorEastAsia"/>
          <w:b/>
          <w:szCs w:val="21"/>
        </w:rPr>
      </w:pPr>
      <w:bookmarkStart w:id="0" w:name="_GoBack"/>
      <w:r>
        <w:rPr>
          <w:rFonts w:hint="eastAsia" w:asciiTheme="minorEastAsia" w:hAnsiTheme="minorEastAsia"/>
          <w:b/>
          <w:szCs w:val="21"/>
        </w:rPr>
        <w:t>凝聚司法共识 寻求监督实效</w:t>
      </w:r>
      <w:r>
        <w:rPr>
          <w:rFonts w:hint="eastAsia" w:asciiTheme="minorEastAsia" w:hAnsiTheme="minorEastAsia"/>
          <w:b/>
          <w:szCs w:val="21"/>
          <w:lang w:val="en-US" w:eastAsia="zh-CN"/>
        </w:rPr>
        <w:t xml:space="preserve"> </w:t>
      </w:r>
      <w:r>
        <w:rPr>
          <w:rFonts w:hint="eastAsia" w:asciiTheme="minorEastAsia" w:hAnsiTheme="minorEastAsia"/>
          <w:b/>
          <w:szCs w:val="21"/>
        </w:rPr>
        <w:t>荆州法检两院共同推进民事行政检察监督协作配合机制</w:t>
      </w:r>
    </w:p>
    <w:bookmarkEnd w:id="0"/>
    <w:p>
      <w:pPr>
        <w:jc w:val="both"/>
        <w:rPr>
          <w:rFonts w:asciiTheme="minorEastAsia" w:hAnsiTheme="minorEastAsia"/>
          <w:b/>
          <w:szCs w:val="21"/>
        </w:rPr>
      </w:pPr>
      <w:r>
        <w:rPr>
          <w:rFonts w:hint="eastAsia" w:asciiTheme="minorEastAsia" w:hAnsiTheme="minorEastAsia"/>
          <w:b/>
          <w:szCs w:val="21"/>
        </w:rPr>
        <w:t xml:space="preserve">    </w:t>
      </w:r>
    </w:p>
    <w:p>
      <w:pPr>
        <w:ind w:firstLine="420" w:firstLineChars="200"/>
        <w:rPr>
          <w:rFonts w:asciiTheme="minorEastAsia" w:hAnsiTheme="minorEastAsia"/>
          <w:szCs w:val="21"/>
        </w:rPr>
      </w:pPr>
      <w:r>
        <w:rPr>
          <w:rFonts w:hint="eastAsia" w:asciiTheme="minorEastAsia" w:hAnsiTheme="minorEastAsia"/>
          <w:szCs w:val="21"/>
        </w:rPr>
        <w:t>为深入</w:t>
      </w:r>
      <w:r>
        <w:rPr>
          <w:rFonts w:hint="eastAsia" w:asciiTheme="minorEastAsia" w:hAnsiTheme="minorEastAsia"/>
          <w:bCs/>
          <w:szCs w:val="21"/>
        </w:rPr>
        <w:t>贯彻</w:t>
      </w:r>
      <w:r>
        <w:rPr>
          <w:rFonts w:hint="eastAsia" w:asciiTheme="minorEastAsia" w:hAnsiTheme="minorEastAsia"/>
          <w:szCs w:val="21"/>
        </w:rPr>
        <w:t>《中共中央关于进一步加强新时代检察机关法律监督工作的决定》</w:t>
      </w:r>
      <w:r>
        <w:rPr>
          <w:rFonts w:hint="eastAsia" w:asciiTheme="minorEastAsia" w:hAnsiTheme="minorEastAsia"/>
          <w:bCs/>
          <w:szCs w:val="21"/>
        </w:rPr>
        <w:t>，</w:t>
      </w:r>
      <w:r>
        <w:rPr>
          <w:rFonts w:hint="eastAsia" w:asciiTheme="minorEastAsia" w:hAnsiTheme="minorEastAsia"/>
          <w:szCs w:val="21"/>
        </w:rPr>
        <w:t>进一步加强法检两院工作联系，荆州市中级人民法院与荆州市检察院联合会签《关于完善民事行政检察监督及协作配合若干工作机制的指引》（以下简称《指引》），在全省率先出台民事行政执行检察监督工作指引。4月7日上午，荆州市法院和市检察院联合召开完善民事行政执行检察监督及协作配合若干机制推进会，共同做好《指引》的贯彻落实工作。荆州市中级人民法院党组副书记、副院长夏远亮，荆州市检察院党组副书记、副检察长何山权出席会议并讲话，两级法院、检察院分管领导及相关部门负责人参加会议。</w:t>
      </w:r>
    </w:p>
    <w:p>
      <w:pPr>
        <w:ind w:firstLine="420" w:firstLineChars="200"/>
        <w:rPr>
          <w:rFonts w:asciiTheme="minorEastAsia" w:hAnsiTheme="minorEastAsia"/>
          <w:szCs w:val="21"/>
        </w:rPr>
      </w:pPr>
      <w:r>
        <w:rPr>
          <w:rFonts w:hint="eastAsia" w:asciiTheme="minorEastAsia" w:hAnsiTheme="minorEastAsia"/>
          <w:szCs w:val="21"/>
        </w:rPr>
        <w:t>《指引》共二十条，从完善协作配合工作机制、实现信息共享、提升司法与法律监督规范化水平三个方面展开，就检察长列席审委会、重大监督案件听证、虚假诉讼监督工作、行政案件集中管辖改革、协同实质性化解行政争议等作了细致规定。</w:t>
      </w:r>
    </w:p>
    <w:p>
      <w:pPr>
        <w:pStyle w:val="2"/>
        <w:ind w:firstLine="420" w:firstLineChars="200"/>
        <w:rPr>
          <w:rFonts w:cs="Times New Roman" w:asciiTheme="minorEastAsia" w:hAnsiTheme="minorEastAsia" w:eastAsiaTheme="minorEastAsia"/>
        </w:rPr>
      </w:pPr>
      <w:r>
        <w:rPr>
          <w:rFonts w:hint="eastAsia" w:asciiTheme="minorEastAsia" w:hAnsiTheme="minorEastAsia" w:eastAsiaTheme="minorEastAsia"/>
        </w:rPr>
        <w:t>《指引》强调，建立健全统一案件办理程序机制，检察监督意见统一由人民法院立案二庭立案审查。人民法院收到检察监督意见案卷后及时办理，并依照法定期限作出《回复意见函》，</w:t>
      </w:r>
      <w:r>
        <w:rPr>
          <w:rFonts w:hint="eastAsia" w:cs="Times New Roman" w:asciiTheme="minorEastAsia" w:hAnsiTheme="minorEastAsia" w:eastAsiaTheme="minorEastAsia"/>
        </w:rPr>
        <w:t>拟不采纳检察监督意见的，承办法官应当提交专业法官会议讨论。通过对民事行政诉讼、执行检察监督案件的“节点式”管理，推动实现检察机关的监督可预期、案件可查询、全程可追溯，确保监督效果落到实处、见到实效。</w:t>
      </w:r>
    </w:p>
    <w:p>
      <w:pPr>
        <w:ind w:firstLine="420" w:firstLineChars="200"/>
        <w:rPr>
          <w:rFonts w:asciiTheme="minorEastAsia" w:hAnsiTheme="minorEastAsia"/>
          <w:szCs w:val="21"/>
        </w:rPr>
      </w:pPr>
      <w:r>
        <w:rPr>
          <w:rFonts w:hint="eastAsia" w:asciiTheme="minorEastAsia" w:hAnsiTheme="minorEastAsia"/>
          <w:szCs w:val="21"/>
        </w:rPr>
        <w:t>《指引》对建立民事行政诉讼、执行监督正、副卷一并调阅制度进行了有益的尝试和探索,具体规定了查阅副卷的具体标准和程序。人民检察院办理民事、行政诉讼监督案件中确有需要查阅副卷内容的，在说明查阅的具体理由后，报请法院、检察院主要领导批准后，亦可查阅。</w:t>
      </w:r>
      <w:r>
        <w:rPr>
          <w:rFonts w:asciiTheme="minorEastAsia" w:hAnsiTheme="minorEastAsia"/>
          <w:szCs w:val="21"/>
        </w:rPr>
        <w:t xml:space="preserve"> </w:t>
      </w:r>
    </w:p>
    <w:p>
      <w:pPr>
        <w:ind w:firstLine="420" w:firstLineChars="200"/>
        <w:rPr>
          <w:rFonts w:asciiTheme="minorEastAsia" w:hAnsiTheme="minorEastAsia"/>
          <w:szCs w:val="21"/>
        </w:rPr>
      </w:pPr>
      <w:r>
        <w:rPr>
          <w:rFonts w:hint="eastAsia" w:asciiTheme="minorEastAsia" w:hAnsiTheme="minorEastAsia"/>
          <w:szCs w:val="21"/>
        </w:rPr>
        <w:t>此外，《指引》还对协同实质性化解行政争议、矛盾纠纷协调化解、检执衔接机制等进行了细致规定，明确了各自的职能定位，畅通了工作衔接渠道，常态化深入推进风险防范和纠纷化解工作，切实维护判决裁定既判力。</w:t>
      </w:r>
    </w:p>
    <w:p>
      <w:pPr>
        <w:ind w:firstLine="420" w:firstLineChars="200"/>
        <w:rPr>
          <w:rFonts w:asciiTheme="minorEastAsia" w:hAnsiTheme="minorEastAsia"/>
          <w:szCs w:val="21"/>
        </w:rPr>
      </w:pPr>
      <w:r>
        <w:rPr>
          <w:rFonts w:hint="eastAsia" w:asciiTheme="minorEastAsia" w:hAnsiTheme="minorEastAsia"/>
          <w:szCs w:val="21"/>
        </w:rPr>
        <w:t>“全市法院要树立开放性思维和1+1＞2的工作理念，认真抓好《指引》的落实工作，提升法院工作质量。”荆州市中级人民法院党组副书记、副院长夏远亮表示，“要深刻认识接受检察监督的重要性，习惯接受监督、主动接受监督，真正把检察监督与协作配合机制打造成为促工作、聚共识的操作指南，携手为经济社会高质量发展提供强有力的司法保障。”</w:t>
      </w:r>
    </w:p>
    <w:p>
      <w:pPr>
        <w:ind w:firstLine="420" w:firstLineChars="200"/>
        <w:rPr>
          <w:rFonts w:asciiTheme="minorEastAsia" w:hAnsiTheme="minorEastAsia"/>
          <w:szCs w:val="21"/>
        </w:rPr>
      </w:pPr>
      <w:r>
        <w:rPr>
          <w:rFonts w:hint="eastAsia" w:asciiTheme="minorEastAsia" w:hAnsiTheme="minorEastAsia"/>
          <w:szCs w:val="21"/>
        </w:rPr>
        <w:t>“抓好《指引》的贯彻落实，是全市检察机关特别是民事行政检察部门当前和今后一个时期的重大政治任务。”荆州市检察院党组副书记、副检察长何山权表示，“全市检察机关要以《指引》实施为契机，坚持以客观公正、监督与办案相统一、双赢多赢共赢等新时代检察监督理念为引领，严格规范民事行政执行检察监督行为，不断提升民事行政检察监督能力，努力提供更多更优的法治产品、检察产品。”</w:t>
      </w:r>
    </w:p>
    <w:p>
      <w:pPr>
        <w:ind w:firstLine="420" w:firstLineChars="200"/>
        <w:rPr>
          <w:rFonts w:hint="eastAsia" w:asciiTheme="minorEastAsia" w:hAnsiTheme="minorEastAsia"/>
          <w:szCs w:val="21"/>
        </w:rPr>
      </w:pPr>
      <w:r>
        <w:rPr>
          <w:rFonts w:hint="eastAsia" w:asciiTheme="minorEastAsia" w:hAnsiTheme="minorEastAsia"/>
          <w:szCs w:val="21"/>
          <w:lang w:val="en-US" w:eastAsia="zh-CN"/>
        </w:rPr>
        <w:t>据悉，</w:t>
      </w:r>
      <w:r>
        <w:rPr>
          <w:rFonts w:hint="eastAsia" w:asciiTheme="minorEastAsia" w:hAnsiTheme="minorEastAsia"/>
          <w:szCs w:val="21"/>
        </w:rPr>
        <w:t>下一步，全市法院将依托该《指引》，加强与检察机关的协作配合，切实把检察监督的压力转化为公正高效的司法权威，以公正司法的实际行动，努力让人民群众在每一个司法案件中感受到公平正义。</w:t>
      </w:r>
    </w:p>
    <w:p>
      <w:pPr>
        <w:ind w:firstLine="420" w:firstLineChars="200"/>
        <w:rPr>
          <w:rFonts w:asciiTheme="minorEastAsia" w:hAnsiTheme="minorEastAsia"/>
          <w:szCs w:val="21"/>
        </w:rPr>
      </w:pPr>
      <w:r>
        <w:rPr>
          <w:rFonts w:hint="eastAsia" w:asciiTheme="minorEastAsia" w:hAnsiTheme="minorEastAsia"/>
          <w:szCs w:val="21"/>
        </w:rPr>
        <w:t>（朱静）</w:t>
      </w:r>
    </w:p>
    <w:p>
      <w:pPr>
        <w:ind w:firstLine="420" w:firstLineChars="200"/>
        <w:rPr>
          <w:rFonts w:asciiTheme="minorEastAsia" w:hAnsiTheme="minorEastAsia"/>
          <w:szCs w:val="21"/>
        </w:rPr>
      </w:pPr>
    </w:p>
    <w:p>
      <w:pPr>
        <w:ind w:firstLine="420" w:firstLineChars="200"/>
        <w:rPr>
          <w:rFonts w:asciiTheme="minorEastAsia" w:hAnsiTheme="minorEastAsia"/>
          <w:szCs w:val="21"/>
        </w:rPr>
      </w:pPr>
    </w:p>
    <w:sectPr>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0A"/>
    <w:rsid w:val="000119B5"/>
    <w:rsid w:val="00047227"/>
    <w:rsid w:val="00070F4B"/>
    <w:rsid w:val="000920CB"/>
    <w:rsid w:val="000941C6"/>
    <w:rsid w:val="000A4A97"/>
    <w:rsid w:val="000D20E1"/>
    <w:rsid w:val="000E7292"/>
    <w:rsid w:val="00105486"/>
    <w:rsid w:val="001551D5"/>
    <w:rsid w:val="00184715"/>
    <w:rsid w:val="001B513A"/>
    <w:rsid w:val="001D52EB"/>
    <w:rsid w:val="002206C3"/>
    <w:rsid w:val="00255693"/>
    <w:rsid w:val="00256D2B"/>
    <w:rsid w:val="002B0DB0"/>
    <w:rsid w:val="002B0EC4"/>
    <w:rsid w:val="002D0CA1"/>
    <w:rsid w:val="00330FCB"/>
    <w:rsid w:val="003479AD"/>
    <w:rsid w:val="003D186E"/>
    <w:rsid w:val="00435A0C"/>
    <w:rsid w:val="005234EC"/>
    <w:rsid w:val="00563834"/>
    <w:rsid w:val="005C0F61"/>
    <w:rsid w:val="005C725B"/>
    <w:rsid w:val="006767BB"/>
    <w:rsid w:val="0068734D"/>
    <w:rsid w:val="006A4B10"/>
    <w:rsid w:val="006C5BE5"/>
    <w:rsid w:val="006F1F53"/>
    <w:rsid w:val="00703B27"/>
    <w:rsid w:val="0071457F"/>
    <w:rsid w:val="007A3DED"/>
    <w:rsid w:val="0082374F"/>
    <w:rsid w:val="008B05F4"/>
    <w:rsid w:val="0090337D"/>
    <w:rsid w:val="00930513"/>
    <w:rsid w:val="00990153"/>
    <w:rsid w:val="009B60A3"/>
    <w:rsid w:val="00A26051"/>
    <w:rsid w:val="00A404A8"/>
    <w:rsid w:val="00A41B3D"/>
    <w:rsid w:val="00A922A1"/>
    <w:rsid w:val="00AC2A73"/>
    <w:rsid w:val="00B04F4D"/>
    <w:rsid w:val="00B6377F"/>
    <w:rsid w:val="00B73585"/>
    <w:rsid w:val="00B80C0A"/>
    <w:rsid w:val="00BB7CE6"/>
    <w:rsid w:val="00C21DCB"/>
    <w:rsid w:val="00C3392D"/>
    <w:rsid w:val="00C436B5"/>
    <w:rsid w:val="00C650A5"/>
    <w:rsid w:val="00C9484B"/>
    <w:rsid w:val="00CB4359"/>
    <w:rsid w:val="00CF169F"/>
    <w:rsid w:val="00D30183"/>
    <w:rsid w:val="00D60660"/>
    <w:rsid w:val="00D85749"/>
    <w:rsid w:val="00D87323"/>
    <w:rsid w:val="00DA4C0C"/>
    <w:rsid w:val="00DB45AE"/>
    <w:rsid w:val="00DC4290"/>
    <w:rsid w:val="00DC587E"/>
    <w:rsid w:val="00DD140E"/>
    <w:rsid w:val="00DE1222"/>
    <w:rsid w:val="00DE3ED1"/>
    <w:rsid w:val="00DE7F92"/>
    <w:rsid w:val="00DF0508"/>
    <w:rsid w:val="00DF25F5"/>
    <w:rsid w:val="00E351E0"/>
    <w:rsid w:val="00E570EB"/>
    <w:rsid w:val="00E73719"/>
    <w:rsid w:val="00EB1144"/>
    <w:rsid w:val="00EC0BCC"/>
    <w:rsid w:val="00F01489"/>
    <w:rsid w:val="00F23BC2"/>
    <w:rsid w:val="00F25F5D"/>
    <w:rsid w:val="00F70E34"/>
    <w:rsid w:val="00F77C8D"/>
    <w:rsid w:val="00F81AFC"/>
    <w:rsid w:val="00F94949"/>
    <w:rsid w:val="00FE35E8"/>
    <w:rsid w:val="00FE775B"/>
    <w:rsid w:val="7997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Courier New"/>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纯文本 Char"/>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1242</Words>
  <Characters>1244</Characters>
  <Lines>8</Lines>
  <Paragraphs>2</Paragraphs>
  <TotalTime>35</TotalTime>
  <ScaleCrop>false</ScaleCrop>
  <LinksUpToDate>false</LinksUpToDate>
  <CharactersWithSpaces>1252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2022-04-07T03:56:00Z</dcterms:created>
  <dc:creator>xcw</dc:creator>
  <cp:lastModifiedBy>吴学星</cp:lastModifiedBy>
  <dcterms:modified xsi:type="dcterms:W3CDTF">2022-04-07T11:13:21Z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1F66E7AA24A2479E9826621A508C42EB</vt:lpwstr>
  </property>
</Properties>
</file>