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tbl>
      <w:tblPr>
        <w:tblStyle w:val="3"/>
        <w:tblW w:w="7710" w:type="dxa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71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5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址</w:t>
            </w:r>
          </w:p>
        </w:tc>
        <w:tc>
          <w:tcPr>
            <w:tcW w:w="5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务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3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收款账户：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名：   上海亚商正经塾教育科技有限公司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开户行：   中国农业银行股份有限公司上海古北新区支行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3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对公账号： 03382700040026180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701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zNlYTk0MDg3OGE1OWE3ZDQ5OGE0MDAwM2M1NDkifQ=="/>
  </w:docVars>
  <w:rsids>
    <w:rsidRoot w:val="1E506E7C"/>
    <w:rsid w:val="1E50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2023-10-17T02:00:00Z</dcterms:created>
  <dc:creator>小小门牙</dc:creator>
  <cp:lastModifiedBy>小小门牙</cp:lastModifiedBy>
  <dcterms:modified xsi:type="dcterms:W3CDTF">2023-10-17T02:00:21Z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974EFBB42D8F4758A8251F0F8AF8630A_11</vt:lpwstr>
  </property>
</Properties>
</file>