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hint="eastAsia"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24"/>
        </w:rPr>
        <w:t>附件2：</w:t>
      </w:r>
    </w:p>
    <w:p>
      <w:pPr>
        <w:spacing w:line="340" w:lineRule="exact"/>
        <w:jc w:val="center"/>
        <w:rPr>
          <w:rFonts w:hint="eastAsia" w:ascii="宋体" w:hAnsi="宋体"/>
          <w:b/>
          <w:color w:val="000000"/>
          <w:sz w:val="30"/>
          <w:szCs w:val="30"/>
        </w:rPr>
      </w:pPr>
      <w:r>
        <w:rPr>
          <w:rFonts w:hint="eastAsia" w:ascii="方正大标宋简体" w:hAnsi="方正大标宋简体" w:eastAsia="方正大标宋简体" w:cs="方正大标宋简体"/>
          <w:bCs/>
          <w:color w:val="000000"/>
          <w:sz w:val="32"/>
          <w:szCs w:val="32"/>
        </w:rPr>
        <w:t>2021宁波竞争力企业百强填表说明</w:t>
      </w:r>
    </w:p>
    <w:p>
      <w:pPr>
        <w:spacing w:line="340" w:lineRule="exact"/>
        <w:jc w:val="center"/>
        <w:rPr>
          <w:rFonts w:hint="eastAsia" w:ascii="宋体" w:hAnsi="宋体"/>
          <w:b/>
          <w:color w:val="000000"/>
          <w:sz w:val="30"/>
          <w:szCs w:val="30"/>
        </w:rPr>
      </w:pPr>
    </w:p>
    <w:p>
      <w:pPr>
        <w:spacing w:line="340" w:lineRule="exact"/>
        <w:ind w:firstLine="482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（1）国际、国家行业产品标准修订：</w:t>
      </w:r>
      <w:r>
        <w:rPr>
          <w:rFonts w:hint="eastAsia" w:ascii="宋体" w:hAnsi="宋体"/>
          <w:color w:val="000000"/>
          <w:sz w:val="24"/>
        </w:rPr>
        <w:t xml:space="preserve"> </w:t>
      </w:r>
    </w:p>
    <w:p>
      <w:pPr>
        <w:spacing w:line="34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权数1：国际行业产品标准12分、国家级9分、浙江标准及行业（联盟）标准计6分；</w:t>
      </w:r>
    </w:p>
    <w:p>
      <w:pPr>
        <w:spacing w:line="34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权数2：单项系数为1.0，多项系数为N*0.6；</w:t>
      </w:r>
    </w:p>
    <w:p>
      <w:pPr>
        <w:spacing w:line="34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权数1与权数2相乘得出得分数。（2013年起有效，以已公布为准）</w:t>
      </w:r>
    </w:p>
    <w:p>
      <w:pPr>
        <w:spacing w:line="340" w:lineRule="exact"/>
        <w:ind w:firstLine="482" w:firstLineChars="200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注：N为项目数，L1、L2、L3项的二倍权数分封顶，L4=L1+L2+L3（满分为24分）</w:t>
      </w:r>
    </w:p>
    <w:p>
      <w:pPr>
        <w:spacing w:line="340" w:lineRule="exact"/>
        <w:ind w:firstLine="482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（2）专利、版权获得情况：</w:t>
      </w:r>
      <w:r>
        <w:rPr>
          <w:rFonts w:hint="eastAsia" w:ascii="宋体" w:hAnsi="宋体"/>
          <w:color w:val="000000"/>
          <w:sz w:val="24"/>
        </w:rPr>
        <w:t xml:space="preserve"> </w:t>
      </w:r>
    </w:p>
    <w:p>
      <w:pPr>
        <w:spacing w:line="34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权数1：获得发明专利6分、实用新型专利3分、外观设计专利1分；</w:t>
      </w:r>
    </w:p>
    <w:p>
      <w:pPr>
        <w:spacing w:line="34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软件及文化影视传媒产业：软件著作权及其它著作版权的，视同实用新型专利计3分；</w:t>
      </w:r>
    </w:p>
    <w:p>
      <w:pPr>
        <w:spacing w:line="34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权数2：单项系数为1.0，多项系数为N*0.6；</w:t>
      </w:r>
    </w:p>
    <w:p>
      <w:pPr>
        <w:spacing w:line="34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权数1与权数2相乘得出得分数。（2013年起有效，以已公布为准）</w:t>
      </w:r>
    </w:p>
    <w:p>
      <w:pPr>
        <w:spacing w:line="340" w:lineRule="exact"/>
        <w:ind w:firstLine="482" w:firstLineChars="200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注：N为项目数，L1、L2、L3项的二倍权数分封顶，L4=L1+L2+L3（满分为12分）</w:t>
      </w:r>
    </w:p>
    <w:p>
      <w:pPr>
        <w:spacing w:line="340" w:lineRule="exact"/>
        <w:ind w:firstLine="482" w:firstLineChars="200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（3） 科学技术奖：</w:t>
      </w:r>
    </w:p>
    <w:p>
      <w:pPr>
        <w:spacing w:line="3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为表彰企业</w:t>
      </w:r>
      <w:r>
        <w:rPr>
          <w:rFonts w:ascii="宋体" w:hAnsi="宋体"/>
          <w:sz w:val="24"/>
        </w:rPr>
        <w:t>在技术研究、技术开发、技术创新、推广应用先进科学技术成果、促进高新技术产业化，以及完成重大科学技术工程、计划等过程中做出创造性贡献</w:t>
      </w:r>
      <w:r>
        <w:rPr>
          <w:rFonts w:hint="eastAsia" w:ascii="宋体" w:hAnsi="宋体"/>
          <w:sz w:val="24"/>
        </w:rPr>
        <w:t>所设立的奖项。</w:t>
      </w:r>
    </w:p>
    <w:p>
      <w:pPr>
        <w:spacing w:line="34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sz w:val="24"/>
        </w:rPr>
        <w:t>权数1：国家</w:t>
      </w:r>
      <w:r>
        <w:rPr>
          <w:rFonts w:hint="eastAsia" w:ascii="宋体" w:hAnsi="宋体"/>
          <w:color w:val="000000"/>
          <w:sz w:val="24"/>
        </w:rPr>
        <w:t>科学技术奖计12分、省级计9分、市级计6分；</w:t>
      </w:r>
    </w:p>
    <w:p>
      <w:pPr>
        <w:spacing w:line="34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权数2：国家科学技术特等奖N*2.0，一等奖N*1.0，二等奖N*0.8；</w:t>
      </w:r>
    </w:p>
    <w:p>
      <w:pPr>
        <w:spacing w:line="340" w:lineRule="exact"/>
        <w:ind w:firstLine="1320" w:firstLineChars="55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省、市级一等奖N*1.0，二等奖N*0.8，三等奖N*0.6；</w:t>
      </w:r>
    </w:p>
    <w:p>
      <w:pPr>
        <w:spacing w:line="340" w:lineRule="exact"/>
        <w:ind w:firstLine="480" w:firstLineChars="200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权数1与权数2相乘得出得分数。（2013年起有效，以国家、省市科技局已公布为准）</w:t>
      </w:r>
    </w:p>
    <w:p>
      <w:pPr>
        <w:spacing w:line="340" w:lineRule="exact"/>
        <w:ind w:firstLine="482" w:firstLineChars="200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注：N为项目数，L1、L2、L3项的二倍权数分封顶，L4=L1+L2+L3（满分为24分）</w:t>
      </w:r>
    </w:p>
    <w:p>
      <w:pPr>
        <w:spacing w:line="340" w:lineRule="exact"/>
        <w:ind w:firstLine="482" w:firstLineChars="200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 xml:space="preserve">（4）奖项获得： </w:t>
      </w:r>
    </w:p>
    <w:p>
      <w:pPr>
        <w:spacing w:line="3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color w:val="000000"/>
          <w:sz w:val="24"/>
        </w:rPr>
        <w:t>获得国家、省、市政府部门颁发的涉及企业产品、质量、设计、研发等的奖项，以及得到政府部门认可的，获得重大贡献的产品。</w:t>
      </w:r>
      <w:r>
        <w:rPr>
          <w:rFonts w:hint="eastAsia" w:ascii="宋体" w:hAnsi="宋体"/>
          <w:sz w:val="24"/>
        </w:rPr>
        <w:t>包括：建筑业的国家优质工程金奖、鲁班奖（含工法）；国家工程银奖、白玉兰奖、钱江杯、省级奖（含工法）；甬江杯、市级奖（含工法）。</w:t>
      </w:r>
      <w:r>
        <w:rPr>
          <w:rFonts w:hint="eastAsia" w:ascii="宋体" w:hAnsi="宋体"/>
          <w:color w:val="000000"/>
          <w:sz w:val="24"/>
        </w:rPr>
        <w:t>酒店业的金叶奖、银叶奖等；其它行业以此类推。（2013年起有效，同级获奖项目允许相加，在国际、国内展会上获奖不作计分依据）</w:t>
      </w:r>
    </w:p>
    <w:p>
      <w:pPr>
        <w:spacing w:line="340" w:lineRule="exac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权数1：国家级6分、省级3分、市级1分；</w:t>
      </w:r>
    </w:p>
    <w:p>
      <w:pPr>
        <w:spacing w:line="34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权数2：单项系数为1.0，多项系数为N*0.6；</w:t>
      </w:r>
    </w:p>
    <w:p>
      <w:pPr>
        <w:spacing w:line="34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权数1与权数2相乘得出得分数。</w:t>
      </w:r>
    </w:p>
    <w:p>
      <w:pPr>
        <w:spacing w:line="340" w:lineRule="exact"/>
        <w:ind w:firstLine="482" w:firstLineChars="200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注：N为项目数，L1、L2、L3项的二倍权数分封顶，L4=L1+L2+L3（满分为12分）</w:t>
      </w:r>
    </w:p>
    <w:p>
      <w:pPr>
        <w:spacing w:line="340" w:lineRule="exact"/>
        <w:ind w:firstLine="482" w:firstLineChars="200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 xml:space="preserve">（5）高新技术企业、首台（套）、技术中心、重点软件企业： </w:t>
      </w:r>
    </w:p>
    <w:p>
      <w:pPr>
        <w:spacing w:line="34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技术中心涵盖：产品技术中心、质量技术中心、工程技术中心、检测技术中心等；</w:t>
      </w:r>
    </w:p>
    <w:p>
      <w:pPr>
        <w:spacing w:line="34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为鼓励软件行业发展，将国家、省、市级重点软件企业列为计分依据；</w:t>
      </w:r>
    </w:p>
    <w:p>
      <w:pPr>
        <w:spacing w:line="34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为促进高新技术发展，将高新技术企业、首台（套）等列为计分依据； </w:t>
      </w:r>
    </w:p>
    <w:p>
      <w:pPr>
        <w:spacing w:line="34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权数1：国家级12分、省级6分、市级3分；（2013年起有效，同级允许相加）</w:t>
      </w:r>
    </w:p>
    <w:p>
      <w:pPr>
        <w:spacing w:line="34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权数2：单项系数为1.0，多项系数为N*0.6；</w:t>
      </w:r>
    </w:p>
    <w:p>
      <w:pPr>
        <w:spacing w:line="340" w:lineRule="exact"/>
        <w:ind w:left="561" w:leftChars="267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权数1与权数2相乘得出得分数。</w:t>
      </w:r>
    </w:p>
    <w:p>
      <w:pPr>
        <w:spacing w:line="340" w:lineRule="exact"/>
        <w:ind w:firstLine="482" w:firstLineChars="200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注：N为项目数，L1、L2、L3项的二倍权数分封顶，L4=L1+L2+L3（满分为24分）</w:t>
      </w:r>
    </w:p>
    <w:p>
      <w:pPr>
        <w:spacing w:line="340" w:lineRule="exact"/>
        <w:ind w:firstLine="482" w:firstLineChars="200"/>
        <w:rPr>
          <w:rFonts w:hint="eastAsia" w:ascii="宋体" w:hAnsi="宋体"/>
          <w:b/>
          <w:color w:val="000000"/>
          <w:sz w:val="24"/>
        </w:rPr>
      </w:pPr>
    </w:p>
    <w:p>
      <w:pPr>
        <w:spacing w:line="340" w:lineRule="exact"/>
        <w:ind w:firstLine="482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color w:val="000000"/>
          <w:sz w:val="24"/>
        </w:rPr>
        <w:t xml:space="preserve"> （6）管理</w:t>
      </w:r>
      <w:r>
        <w:rPr>
          <w:rFonts w:hint="eastAsia" w:ascii="宋体" w:hAnsi="宋体"/>
          <w:b/>
          <w:color w:val="333333"/>
          <w:sz w:val="24"/>
        </w:rPr>
        <w:t>体系认证：</w:t>
      </w:r>
      <w:r>
        <w:rPr>
          <w:rFonts w:hint="eastAsia" w:ascii="宋体" w:hAnsi="宋体"/>
          <w:sz w:val="24"/>
        </w:rPr>
        <w:t>以国家认监委认可的体系认证计权数分</w:t>
      </w:r>
    </w:p>
    <w:p>
      <w:pPr>
        <w:spacing w:line="3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体系认证：ISO9000 、 ISO14000 、OHSAS18000 、TS16949 、 ISO13485、ISO14064、ISO27000、QC080000、ISO22000/HACCP 、 SA8000 、BSCI、国军标认证 、 TL9000认证 、软件CMMI认证等。</w:t>
      </w:r>
    </w:p>
    <w:p>
      <w:pPr>
        <w:spacing w:line="340" w:lineRule="exact"/>
        <w:ind w:left="561" w:leftChars="267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权数1：6分；   权数2：单项系数为1.0，多项系数为N*0.6</w:t>
      </w:r>
    </w:p>
    <w:p>
      <w:pPr>
        <w:spacing w:line="340" w:lineRule="exact"/>
        <w:ind w:left="561" w:leftChars="267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权数1与权数2相乘得出得分数。</w:t>
      </w:r>
    </w:p>
    <w:p>
      <w:pPr>
        <w:spacing w:line="340" w:lineRule="exact"/>
        <w:ind w:left="561" w:leftChars="267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注：N为项目数，二倍权数分封顶，2013年起有效</w:t>
      </w:r>
      <w:r>
        <w:rPr>
          <w:rFonts w:hint="eastAsia" w:ascii="宋体" w:hAnsi="宋体"/>
          <w:b/>
          <w:sz w:val="24"/>
        </w:rPr>
        <w:t>。</w:t>
      </w:r>
      <w:r>
        <w:rPr>
          <w:rFonts w:hint="eastAsia" w:ascii="宋体" w:hAnsi="宋体"/>
          <w:b/>
          <w:color w:val="000000"/>
          <w:sz w:val="24"/>
        </w:rPr>
        <w:t>（满分为12分）</w:t>
      </w:r>
    </w:p>
    <w:p>
      <w:pPr>
        <w:spacing w:line="340" w:lineRule="exact"/>
        <w:ind w:firstLine="482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（7）政府质量奖：</w:t>
      </w:r>
    </w:p>
    <w:p>
      <w:pPr>
        <w:spacing w:line="34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以企业获得省、市、区（县市）级政府质量奖为计分条件。</w:t>
      </w:r>
    </w:p>
    <w:p>
      <w:pPr>
        <w:spacing w:line="34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权数：获得省长质量奖计12分、市长奖6分、区县（市）长奖3分。</w:t>
      </w:r>
    </w:p>
    <w:p>
      <w:pPr>
        <w:spacing w:line="340" w:lineRule="exact"/>
        <w:ind w:firstLine="482" w:firstLineChars="200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注：计分采用从高原则，不重复计分，2013年起有效（满分为12分）</w:t>
      </w:r>
    </w:p>
    <w:p>
      <w:pPr>
        <w:spacing w:line="340" w:lineRule="exact"/>
        <w:ind w:firstLine="482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（8）企业资质：</w:t>
      </w:r>
      <w:r>
        <w:rPr>
          <w:rFonts w:hint="eastAsia" w:ascii="宋体" w:hAnsi="宋体"/>
          <w:color w:val="000000"/>
          <w:sz w:val="24"/>
        </w:rPr>
        <w:t>以企业获得酒店业星级评定、建筑业、物流业、道路客（货）运等级评定等为计分条件，其他行业类推。</w:t>
      </w:r>
    </w:p>
    <w:p>
      <w:pPr>
        <w:spacing w:line="34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饭店业：五星级酒店的计6分、四星级计3分、三星级计1分；</w:t>
      </w:r>
    </w:p>
    <w:p>
      <w:pPr>
        <w:spacing w:line="34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物流业：获得5A级的计6分、4A级计3分、3A级计1分；</w:t>
      </w:r>
    </w:p>
    <w:p>
      <w:pPr>
        <w:spacing w:line="34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建筑业：特级资质计6分、一级资质计3分、二级资质计1分；</w:t>
      </w:r>
    </w:p>
    <w:p>
      <w:pPr>
        <w:spacing w:line="34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道路客（货）运：一级资质的计6分、二级计3分、三级计1分。</w:t>
      </w:r>
    </w:p>
    <w:p>
      <w:pPr>
        <w:spacing w:line="340" w:lineRule="exact"/>
        <w:ind w:firstLine="482" w:firstLineChars="200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注：计分采用从高原则，不重复计分、2013年起有效（满分为6分）</w:t>
      </w:r>
    </w:p>
    <w:p>
      <w:pPr>
        <w:spacing w:line="340" w:lineRule="exact"/>
        <w:ind w:firstLine="482" w:firstLineChars="200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 xml:space="preserve">（9）社会责任： </w:t>
      </w:r>
    </w:p>
    <w:p>
      <w:pPr>
        <w:spacing w:line="34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为鼓励企业在创造财富的同时提高企业的人才集聚能力，积极履行社会责任，为社会尽自己的一份力量。本指标以双爱活动、和谐企业创建、文明单位评比等为计分依据。</w:t>
      </w:r>
    </w:p>
    <w:p>
      <w:pPr>
        <w:spacing w:line="340" w:lineRule="exact"/>
        <w:ind w:firstLine="482" w:firstLineChars="200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权数：获得省级以上计6分、市级计3分、县区（市）级计1分。</w:t>
      </w:r>
    </w:p>
    <w:p>
      <w:pPr>
        <w:spacing w:line="340" w:lineRule="exact"/>
        <w:ind w:firstLine="482" w:firstLineChars="200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注：计分采用从高原则，不重复计分，2012年起有效。（满分为6分）</w:t>
      </w:r>
    </w:p>
    <w:p>
      <w:pPr>
        <w:spacing w:line="340" w:lineRule="exact"/>
        <w:ind w:firstLine="482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（10）资产负债率：（单位：百分比%，保留二位小数，满分为10分）</w:t>
      </w:r>
    </w:p>
    <w:p>
      <w:pPr>
        <w:spacing w:line="340" w:lineRule="exact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资产负债率</w:t>
      </w:r>
      <w:r>
        <w:rPr>
          <w:rFonts w:ascii="宋体" w:hAnsi="宋体"/>
          <w:color w:val="000000"/>
          <w:sz w:val="24"/>
        </w:rPr>
        <w:t>是评价公司负债水平的综合指标</w:t>
      </w:r>
      <w:r>
        <w:rPr>
          <w:rFonts w:hint="eastAsia" w:ascii="宋体" w:hAnsi="宋体"/>
          <w:color w:val="000000"/>
          <w:sz w:val="24"/>
        </w:rPr>
        <w:t>，</w:t>
      </w:r>
      <w:r>
        <w:rPr>
          <w:rFonts w:ascii="宋体" w:hAnsi="宋体"/>
          <w:color w:val="000000"/>
          <w:sz w:val="24"/>
        </w:rPr>
        <w:t>资产负债率=负债总额/资产总</w:t>
      </w:r>
      <w:r>
        <w:rPr>
          <w:rFonts w:hint="eastAsia" w:ascii="宋体" w:hAnsi="宋体"/>
          <w:color w:val="000000"/>
          <w:sz w:val="24"/>
        </w:rPr>
        <w:t>额</w:t>
      </w:r>
      <w:r>
        <w:rPr>
          <w:rFonts w:ascii="宋体" w:hAnsi="宋体"/>
          <w:color w:val="000000"/>
          <w:sz w:val="24"/>
        </w:rPr>
        <w:t>×100%</w:t>
      </w:r>
      <w:r>
        <w:rPr>
          <w:rFonts w:hint="eastAsia" w:ascii="宋体" w:hAnsi="宋体"/>
          <w:color w:val="000000"/>
          <w:sz w:val="24"/>
        </w:rPr>
        <w:t>，以制造类企业65%、商贸服务类企业70%、建筑房产类75%为权数设置标准，每低于权数标准1%的计1分，以此类推，满分为10分，高于权数设置标准不计分。</w:t>
      </w:r>
    </w:p>
    <w:p>
      <w:pPr>
        <w:spacing w:line="340" w:lineRule="exact"/>
        <w:ind w:left="422" w:leftChars="201" w:firstLine="120" w:firstLineChars="5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（11）营业收入增长率（单位：万元，保留二位小数，满分为10分）</w:t>
      </w:r>
    </w:p>
    <w:p>
      <w:pPr>
        <w:spacing w:line="340" w:lineRule="exact"/>
        <w:ind w:firstLine="512" w:firstLineChars="200"/>
        <w:rPr>
          <w:rFonts w:hint="eastAsia" w:ascii="宋体" w:hAnsi="宋体"/>
          <w:spacing w:val="8"/>
          <w:sz w:val="24"/>
        </w:rPr>
      </w:pPr>
      <w:r>
        <w:rPr>
          <w:rFonts w:hint="eastAsia" w:ascii="宋体" w:hAnsi="宋体"/>
          <w:spacing w:val="8"/>
          <w:sz w:val="24"/>
        </w:rPr>
        <w:t>营业</w:t>
      </w:r>
      <w:r>
        <w:rPr>
          <w:rFonts w:ascii="宋体" w:hAnsi="宋体"/>
          <w:spacing w:val="8"/>
          <w:sz w:val="24"/>
        </w:rPr>
        <w:t>收入增长率代表公司产品销售量</w:t>
      </w:r>
      <w:r>
        <w:rPr>
          <w:rFonts w:hint="eastAsia" w:ascii="宋体" w:hAnsi="宋体"/>
          <w:spacing w:val="8"/>
          <w:sz w:val="24"/>
        </w:rPr>
        <w:t>的</w:t>
      </w:r>
      <w:r>
        <w:rPr>
          <w:rFonts w:ascii="宋体" w:hAnsi="宋体"/>
          <w:spacing w:val="8"/>
          <w:sz w:val="24"/>
        </w:rPr>
        <w:t>增加，市场占有率</w:t>
      </w:r>
      <w:r>
        <w:rPr>
          <w:rFonts w:hint="eastAsia" w:ascii="宋体" w:hAnsi="宋体"/>
          <w:spacing w:val="8"/>
          <w:sz w:val="24"/>
        </w:rPr>
        <w:t>的</w:t>
      </w:r>
      <w:r>
        <w:rPr>
          <w:rFonts w:ascii="宋体" w:hAnsi="宋体"/>
          <w:spacing w:val="8"/>
          <w:sz w:val="24"/>
        </w:rPr>
        <w:t>扩大</w:t>
      </w:r>
      <w:r>
        <w:rPr>
          <w:rFonts w:hint="eastAsia" w:ascii="宋体" w:hAnsi="宋体"/>
          <w:spacing w:val="8"/>
          <w:sz w:val="24"/>
        </w:rPr>
        <w:t>。</w:t>
      </w:r>
    </w:p>
    <w:p>
      <w:pPr>
        <w:spacing w:line="340" w:lineRule="exact"/>
        <w:ind w:firstLine="512" w:firstLineChars="200"/>
        <w:rPr>
          <w:rFonts w:hint="eastAsia" w:ascii="宋体" w:hAnsi="宋体"/>
          <w:spacing w:val="8"/>
          <w:sz w:val="24"/>
        </w:rPr>
      </w:pPr>
      <w:r>
        <w:rPr>
          <w:rFonts w:hint="eastAsia" w:ascii="宋体" w:hAnsi="宋体"/>
          <w:spacing w:val="8"/>
          <w:sz w:val="24"/>
        </w:rPr>
        <w:t>营业</w:t>
      </w:r>
      <w:r>
        <w:rPr>
          <w:rFonts w:ascii="宋体" w:hAnsi="宋体"/>
          <w:spacing w:val="8"/>
          <w:sz w:val="24"/>
        </w:rPr>
        <w:t>收入增长率=（</w:t>
      </w:r>
      <w:r>
        <w:rPr>
          <w:rFonts w:hint="eastAsia" w:ascii="宋体" w:hAnsi="宋体"/>
          <w:spacing w:val="8"/>
          <w:sz w:val="24"/>
        </w:rPr>
        <w:t>报告期年度营业</w:t>
      </w:r>
      <w:r>
        <w:rPr>
          <w:rFonts w:ascii="宋体" w:hAnsi="宋体"/>
          <w:spacing w:val="8"/>
          <w:sz w:val="24"/>
        </w:rPr>
        <w:t>收入金额-</w:t>
      </w:r>
      <w:r>
        <w:rPr>
          <w:rFonts w:hint="eastAsia" w:ascii="宋体" w:hAnsi="宋体"/>
          <w:spacing w:val="8"/>
          <w:sz w:val="24"/>
        </w:rPr>
        <w:t>基期年度营业</w:t>
      </w:r>
      <w:r>
        <w:rPr>
          <w:rFonts w:ascii="宋体" w:hAnsi="宋体"/>
          <w:spacing w:val="8"/>
          <w:sz w:val="24"/>
        </w:rPr>
        <w:t>收入金额）/</w:t>
      </w:r>
      <w:r>
        <w:rPr>
          <w:rFonts w:hint="eastAsia" w:ascii="宋体" w:hAnsi="宋体"/>
          <w:spacing w:val="8"/>
          <w:sz w:val="24"/>
        </w:rPr>
        <w:t>基期年度营业</w:t>
      </w:r>
      <w:r>
        <w:rPr>
          <w:rFonts w:ascii="宋体" w:hAnsi="宋体"/>
          <w:spacing w:val="8"/>
          <w:sz w:val="24"/>
        </w:rPr>
        <w:t>收入金额</w:t>
      </w:r>
      <w:r>
        <w:rPr>
          <w:rFonts w:hint="eastAsia" w:ascii="宋体" w:hAnsi="宋体"/>
          <w:sz w:val="24"/>
        </w:rPr>
        <w:t>×</w:t>
      </w:r>
      <w:r>
        <w:rPr>
          <w:rFonts w:ascii="宋体" w:hAnsi="宋体"/>
          <w:spacing w:val="8"/>
          <w:sz w:val="24"/>
        </w:rPr>
        <w:t>100%</w:t>
      </w:r>
      <w:r>
        <w:rPr>
          <w:rFonts w:hint="eastAsia" w:ascii="宋体" w:hAnsi="宋体"/>
          <w:spacing w:val="8"/>
          <w:sz w:val="24"/>
        </w:rPr>
        <w:t>/2；</w:t>
      </w:r>
    </w:p>
    <w:p>
      <w:pPr>
        <w:spacing w:line="34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设置权数：以连续二个年度营业增长率的平均值为计算依据，每一个增长率百分比计1分，以此类推，满分为10分，负数不计分。</w:t>
      </w:r>
    </w:p>
    <w:p>
      <w:pPr>
        <w:spacing w:line="340" w:lineRule="exact"/>
        <w:ind w:firstLine="482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（12）利润增长率（单位：万元，保留二位小数，满分为20分）</w:t>
      </w:r>
    </w:p>
    <w:p>
      <w:pPr>
        <w:spacing w:line="340" w:lineRule="exact"/>
        <w:ind w:firstLine="480" w:firstLineChars="200"/>
        <w:rPr>
          <w:rFonts w:hint="eastAsia" w:ascii="宋体" w:hAnsi="宋体" w:cs="Arial"/>
          <w:color w:val="333333"/>
          <w:sz w:val="24"/>
        </w:rPr>
      </w:pPr>
      <w:r>
        <w:rPr>
          <w:rFonts w:hint="eastAsia" w:ascii="宋体" w:hAnsi="宋体" w:cs="Arial"/>
          <w:sz w:val="24"/>
        </w:rPr>
        <w:t>基期利润为正数：</w:t>
      </w:r>
      <w:r>
        <w:rPr>
          <w:rFonts w:ascii="宋体" w:hAnsi="宋体" w:cs="Arial"/>
          <w:sz w:val="24"/>
        </w:rPr>
        <w:t>利润增长率</w:t>
      </w:r>
      <w:r>
        <w:rPr>
          <w:rFonts w:hint="eastAsia" w:ascii="宋体" w:hAnsi="宋体" w:cs="Arial"/>
          <w:sz w:val="24"/>
        </w:rPr>
        <w:t>=（报告期</w:t>
      </w:r>
      <w:r>
        <w:rPr>
          <w:rFonts w:ascii="宋体" w:hAnsi="宋体" w:cs="Arial"/>
          <w:sz w:val="24"/>
        </w:rPr>
        <w:t>年</w:t>
      </w:r>
      <w:r>
        <w:rPr>
          <w:rFonts w:hint="eastAsia" w:ascii="宋体" w:hAnsi="宋体" w:cs="Arial"/>
          <w:sz w:val="24"/>
        </w:rPr>
        <w:t>度</w:t>
      </w:r>
      <w:r>
        <w:rPr>
          <w:rFonts w:ascii="宋体" w:hAnsi="宋体" w:cs="Arial"/>
          <w:sz w:val="24"/>
        </w:rPr>
        <w:t>利润</w:t>
      </w:r>
      <w:r>
        <w:rPr>
          <w:rFonts w:hint="eastAsia" w:ascii="宋体" w:hAnsi="宋体" w:cs="Arial"/>
          <w:sz w:val="24"/>
        </w:rPr>
        <w:t>总</w:t>
      </w:r>
      <w:r>
        <w:rPr>
          <w:rFonts w:ascii="宋体" w:hAnsi="宋体" w:cs="Arial"/>
          <w:sz w:val="24"/>
        </w:rPr>
        <w:t>额</w:t>
      </w:r>
      <w:r>
        <w:rPr>
          <w:rFonts w:hint="eastAsia" w:ascii="宋体" w:hAnsi="宋体" w:cs="Arial"/>
          <w:sz w:val="24"/>
        </w:rPr>
        <w:t>-基期</w:t>
      </w:r>
      <w:r>
        <w:rPr>
          <w:rFonts w:ascii="宋体" w:hAnsi="宋体" w:cs="Arial"/>
          <w:sz w:val="24"/>
        </w:rPr>
        <w:t>年</w:t>
      </w:r>
      <w:r>
        <w:rPr>
          <w:rFonts w:hint="eastAsia" w:ascii="宋体" w:hAnsi="宋体" w:cs="Arial"/>
          <w:sz w:val="24"/>
        </w:rPr>
        <w:t>度</w:t>
      </w:r>
      <w:r>
        <w:rPr>
          <w:rFonts w:ascii="宋体" w:hAnsi="宋体" w:cs="Arial"/>
          <w:sz w:val="24"/>
        </w:rPr>
        <w:t>利润</w:t>
      </w:r>
      <w:r>
        <w:rPr>
          <w:rFonts w:hint="eastAsia" w:ascii="宋体" w:hAnsi="宋体" w:cs="Arial"/>
          <w:sz w:val="24"/>
        </w:rPr>
        <w:t>总</w:t>
      </w:r>
      <w:r>
        <w:rPr>
          <w:rFonts w:ascii="宋体" w:hAnsi="宋体" w:cs="Arial"/>
          <w:sz w:val="24"/>
        </w:rPr>
        <w:t>额 ）</w:t>
      </w:r>
      <w:r>
        <w:rPr>
          <w:rFonts w:hint="eastAsia" w:ascii="宋体" w:hAnsi="宋体" w:cs="Arial"/>
          <w:sz w:val="24"/>
        </w:rPr>
        <w:t>/基期</w:t>
      </w:r>
      <w:r>
        <w:rPr>
          <w:rFonts w:ascii="宋体" w:hAnsi="宋体" w:cs="Arial"/>
          <w:sz w:val="24"/>
        </w:rPr>
        <w:t>年</w:t>
      </w:r>
      <w:r>
        <w:rPr>
          <w:rFonts w:hint="eastAsia" w:ascii="宋体" w:hAnsi="宋体" w:cs="Arial"/>
          <w:sz w:val="24"/>
        </w:rPr>
        <w:t>度</w:t>
      </w:r>
      <w:r>
        <w:rPr>
          <w:rFonts w:ascii="宋体" w:hAnsi="宋体" w:cs="Arial"/>
          <w:sz w:val="24"/>
        </w:rPr>
        <w:t>利润</w:t>
      </w:r>
      <w:r>
        <w:rPr>
          <w:rFonts w:hint="eastAsia" w:ascii="宋体" w:hAnsi="宋体" w:cs="Arial"/>
          <w:sz w:val="24"/>
        </w:rPr>
        <w:t>总</w:t>
      </w:r>
      <w:r>
        <w:rPr>
          <w:rFonts w:ascii="宋体" w:hAnsi="宋体" w:cs="Arial"/>
          <w:sz w:val="24"/>
        </w:rPr>
        <w:t>额</w:t>
      </w:r>
      <w:r>
        <w:rPr>
          <w:rFonts w:hint="eastAsia" w:ascii="宋体" w:hAnsi="宋体"/>
          <w:sz w:val="24"/>
        </w:rPr>
        <w:t>×</w:t>
      </w:r>
      <w:r>
        <w:rPr>
          <w:rFonts w:ascii="宋体" w:hAnsi="宋体" w:cs="Arial"/>
          <w:sz w:val="24"/>
        </w:rPr>
        <w:t>100%</w:t>
      </w:r>
      <w:r>
        <w:rPr>
          <w:rFonts w:hint="eastAsia" w:ascii="宋体" w:hAnsi="宋体" w:cs="Arial"/>
          <w:sz w:val="24"/>
        </w:rPr>
        <w:t>/2；</w:t>
      </w:r>
      <w:r>
        <w:rPr>
          <w:rFonts w:ascii="宋体" w:hAnsi="宋体" w:cs="Arial"/>
          <w:sz w:val="24"/>
        </w:rPr>
        <w:t>　</w:t>
      </w:r>
    </w:p>
    <w:p>
      <w:pPr>
        <w:spacing w:line="34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 w:cs="Arial"/>
          <w:sz w:val="24"/>
        </w:rPr>
        <w:t>基期利润为负数：</w:t>
      </w:r>
      <w:r>
        <w:rPr>
          <w:rFonts w:ascii="宋体" w:hAnsi="宋体" w:cs="Arial"/>
          <w:sz w:val="24"/>
        </w:rPr>
        <w:t>利润增长率</w:t>
      </w:r>
      <w:r>
        <w:rPr>
          <w:rFonts w:hint="eastAsia" w:ascii="宋体" w:hAnsi="宋体" w:cs="Arial"/>
          <w:sz w:val="24"/>
        </w:rPr>
        <w:t>={1-[（报告期</w:t>
      </w:r>
      <w:r>
        <w:rPr>
          <w:rFonts w:ascii="宋体" w:hAnsi="宋体" w:cs="Arial"/>
          <w:sz w:val="24"/>
        </w:rPr>
        <w:t>年</w:t>
      </w:r>
      <w:r>
        <w:rPr>
          <w:rFonts w:hint="eastAsia" w:ascii="宋体" w:hAnsi="宋体" w:cs="Arial"/>
          <w:sz w:val="24"/>
        </w:rPr>
        <w:t>度</w:t>
      </w:r>
      <w:r>
        <w:rPr>
          <w:rFonts w:ascii="宋体" w:hAnsi="宋体" w:cs="Arial"/>
          <w:sz w:val="24"/>
        </w:rPr>
        <w:t>利润</w:t>
      </w:r>
      <w:r>
        <w:rPr>
          <w:rFonts w:hint="eastAsia" w:ascii="宋体" w:hAnsi="宋体" w:cs="Arial"/>
          <w:sz w:val="24"/>
        </w:rPr>
        <w:t>总</w:t>
      </w:r>
      <w:r>
        <w:rPr>
          <w:rFonts w:ascii="宋体" w:hAnsi="宋体" w:cs="Arial"/>
          <w:sz w:val="24"/>
        </w:rPr>
        <w:t>额</w:t>
      </w:r>
      <w:r>
        <w:rPr>
          <w:rFonts w:hint="eastAsia" w:ascii="宋体" w:hAnsi="宋体" w:cs="Arial"/>
          <w:sz w:val="24"/>
        </w:rPr>
        <w:t>-基期</w:t>
      </w:r>
      <w:r>
        <w:rPr>
          <w:rFonts w:ascii="宋体" w:hAnsi="宋体" w:cs="Arial"/>
          <w:sz w:val="24"/>
        </w:rPr>
        <w:t>年</w:t>
      </w:r>
      <w:r>
        <w:rPr>
          <w:rFonts w:hint="eastAsia" w:ascii="宋体" w:hAnsi="宋体" w:cs="Arial"/>
          <w:sz w:val="24"/>
        </w:rPr>
        <w:t>度</w:t>
      </w:r>
      <w:r>
        <w:rPr>
          <w:rFonts w:ascii="宋体" w:hAnsi="宋体" w:cs="Arial"/>
          <w:sz w:val="24"/>
        </w:rPr>
        <w:t>利润</w:t>
      </w:r>
      <w:r>
        <w:rPr>
          <w:rFonts w:hint="eastAsia" w:ascii="宋体" w:hAnsi="宋体" w:cs="Arial"/>
          <w:sz w:val="24"/>
        </w:rPr>
        <w:t>总</w:t>
      </w:r>
      <w:r>
        <w:rPr>
          <w:rFonts w:ascii="宋体" w:hAnsi="宋体" w:cs="Arial"/>
          <w:sz w:val="24"/>
        </w:rPr>
        <w:t>额 ）</w:t>
      </w:r>
      <w:r>
        <w:rPr>
          <w:rFonts w:hint="eastAsia" w:ascii="宋体" w:hAnsi="宋体" w:cs="Arial"/>
          <w:sz w:val="24"/>
        </w:rPr>
        <w:t>/基期</w:t>
      </w:r>
      <w:r>
        <w:rPr>
          <w:rFonts w:ascii="宋体" w:hAnsi="宋体" w:cs="Arial"/>
          <w:sz w:val="24"/>
        </w:rPr>
        <w:t>年</w:t>
      </w:r>
      <w:r>
        <w:rPr>
          <w:rFonts w:hint="eastAsia" w:ascii="宋体" w:hAnsi="宋体" w:cs="Arial"/>
          <w:sz w:val="24"/>
        </w:rPr>
        <w:t>度</w:t>
      </w:r>
      <w:r>
        <w:rPr>
          <w:rFonts w:ascii="宋体" w:hAnsi="宋体" w:cs="Arial"/>
          <w:sz w:val="24"/>
        </w:rPr>
        <w:t>利润</w:t>
      </w:r>
      <w:r>
        <w:rPr>
          <w:rFonts w:hint="eastAsia" w:ascii="宋体" w:hAnsi="宋体" w:cs="Arial"/>
          <w:sz w:val="24"/>
        </w:rPr>
        <w:t>总</w:t>
      </w:r>
      <w:r>
        <w:rPr>
          <w:rFonts w:ascii="宋体" w:hAnsi="宋体" w:cs="Arial"/>
          <w:sz w:val="24"/>
        </w:rPr>
        <w:t>额</w:t>
      </w:r>
      <w:r>
        <w:rPr>
          <w:rFonts w:hint="eastAsia" w:ascii="宋体" w:hAnsi="宋体" w:cs="Arial"/>
          <w:sz w:val="24"/>
        </w:rPr>
        <w:t>]}</w:t>
      </w:r>
      <w:r>
        <w:rPr>
          <w:rFonts w:hint="eastAsia" w:ascii="宋体" w:hAnsi="宋体"/>
          <w:sz w:val="24"/>
        </w:rPr>
        <w:t>×</w:t>
      </w:r>
      <w:r>
        <w:rPr>
          <w:rFonts w:ascii="宋体" w:hAnsi="宋体" w:cs="Arial"/>
          <w:sz w:val="24"/>
        </w:rPr>
        <w:t>100%</w:t>
      </w:r>
      <w:r>
        <w:rPr>
          <w:rFonts w:hint="eastAsia" w:ascii="宋体" w:hAnsi="宋体" w:cs="Arial"/>
          <w:sz w:val="24"/>
        </w:rPr>
        <w:t>/2；</w:t>
      </w:r>
    </w:p>
    <w:p>
      <w:pPr>
        <w:spacing w:line="34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设置权数：以连续二个年度利润增长率的平均值为计算依据，每一个增长率百分比计1分，以此类推，满分为20分，负数不计分。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134" w:bottom="1440" w:left="1440" w:header="851" w:footer="56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- 2 -</w:t>
                    </w:r>
                    <w:r>
                      <w:rPr>
                        <w:rFonts w:hint="eastAsia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B54827"/>
    <w:rsid w:val="7CB548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2021-03-09T01:46:00Z</dcterms:created>
  <dc:creator>小小门牙</dc:creator>
  <cp:lastModifiedBy>小小门牙</cp:lastModifiedBy>
  <dcterms:modified xsi:type="dcterms:W3CDTF">2021-03-09T01:46:16Z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