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textAlignment w:val="baseline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附件1：</w:t>
      </w:r>
    </w:p>
    <w:p>
      <w:pPr>
        <w:spacing w:line="240" w:lineRule="atLeast"/>
        <w:jc w:val="center"/>
        <w:textAlignment w:val="baseline"/>
        <w:rPr>
          <w:rFonts w:hint="eastAsia" w:ascii="宋体" w:hAnsi="宋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36"/>
          <w:szCs w:val="36"/>
        </w:rPr>
        <w:t>2021宁波竞争力企业百强申报表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602"/>
        <w:gridCol w:w="163"/>
        <w:gridCol w:w="1053"/>
        <w:gridCol w:w="314"/>
        <w:gridCol w:w="1199"/>
        <w:gridCol w:w="1695"/>
        <w:gridCol w:w="690"/>
        <w:gridCol w:w="1231"/>
        <w:gridCol w:w="836"/>
        <w:gridCol w:w="813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中文</w:t>
            </w:r>
          </w:p>
        </w:tc>
        <w:tc>
          <w:tcPr>
            <w:tcW w:w="4951" w:type="dxa"/>
            <w:gridSpan w:val="5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企业性质</w:t>
            </w:r>
          </w:p>
        </w:tc>
        <w:tc>
          <w:tcPr>
            <w:tcW w:w="25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国有（  ）民营（  ）</w:t>
            </w:r>
          </w:p>
          <w:p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合、外资（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英文</w:t>
            </w:r>
          </w:p>
        </w:tc>
        <w:tc>
          <w:tcPr>
            <w:tcW w:w="49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英文简称</w:t>
            </w:r>
          </w:p>
        </w:tc>
        <w:tc>
          <w:tcPr>
            <w:tcW w:w="2508" w:type="dxa"/>
            <w:gridSpan w:val="3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716" w:type="dxa"/>
            <w:gridSpan w:val="7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浙江省宁波市     区县（市）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 业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 册 地</w:t>
            </w:r>
          </w:p>
        </w:tc>
        <w:tc>
          <w:tcPr>
            <w:tcW w:w="2132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2508" w:type="dxa"/>
            <w:gridSpan w:val="3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22" w:type="dxa"/>
            <w:gridSpan w:val="2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2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务（部门）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  话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手机号码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  人  代  表</w:t>
            </w:r>
          </w:p>
        </w:tc>
        <w:tc>
          <w:tcPr>
            <w:tcW w:w="1530" w:type="dxa"/>
            <w:gridSpan w:val="3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94" w:type="dxa"/>
            <w:gridSpan w:val="2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21" w:type="dxa"/>
            <w:gridSpan w:val="2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08" w:type="dxa"/>
            <w:gridSpan w:val="3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 要 负 责 人</w:t>
            </w:r>
          </w:p>
        </w:tc>
        <w:tc>
          <w:tcPr>
            <w:tcW w:w="1530" w:type="dxa"/>
            <w:gridSpan w:val="3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94" w:type="dxa"/>
            <w:gridSpan w:val="2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21" w:type="dxa"/>
            <w:gridSpan w:val="2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08" w:type="dxa"/>
            <w:gridSpan w:val="3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百强活动联系人</w:t>
            </w:r>
          </w:p>
        </w:tc>
        <w:tc>
          <w:tcPr>
            <w:tcW w:w="1530" w:type="dxa"/>
            <w:gridSpan w:val="3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94" w:type="dxa"/>
            <w:gridSpan w:val="2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21" w:type="dxa"/>
            <w:gridSpan w:val="2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08" w:type="dxa"/>
            <w:gridSpan w:val="3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数据填报联系人</w:t>
            </w:r>
          </w:p>
        </w:tc>
        <w:tc>
          <w:tcPr>
            <w:tcW w:w="1530" w:type="dxa"/>
            <w:gridSpan w:val="3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94" w:type="dxa"/>
            <w:gridSpan w:val="2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21" w:type="dxa"/>
            <w:gridSpan w:val="2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08" w:type="dxa"/>
            <w:gridSpan w:val="3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生产的产品或提供的服务</w:t>
            </w:r>
          </w:p>
        </w:tc>
        <w:tc>
          <w:tcPr>
            <w:tcW w:w="7637" w:type="dxa"/>
            <w:gridSpan w:val="8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                   ②                   ③</w:t>
            </w:r>
          </w:p>
        </w:tc>
      </w:tr>
    </w:tbl>
    <w:p>
      <w:pPr>
        <w:spacing w:line="3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（1）国际、国家及行业的标准修订：</w:t>
      </w:r>
    </w:p>
    <w:tbl>
      <w:tblPr>
        <w:tblStyle w:val="2"/>
        <w:tblW w:w="10575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15"/>
        <w:gridCol w:w="1155"/>
        <w:gridCol w:w="1140"/>
        <w:gridCol w:w="1155"/>
        <w:gridCol w:w="1305"/>
        <w:gridCol w:w="120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L</w:t>
            </w:r>
          </w:p>
        </w:tc>
        <w:tc>
          <w:tcPr>
            <w:tcW w:w="2370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L1</w:t>
            </w: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L2</w:t>
            </w:r>
          </w:p>
        </w:tc>
        <w:tc>
          <w:tcPr>
            <w:tcW w:w="2505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L3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L4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权数系数1</w:t>
            </w:r>
          </w:p>
        </w:tc>
        <w:tc>
          <w:tcPr>
            <w:tcW w:w="2370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国际标准修订12分</w:t>
            </w: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国家标准修订9分</w:t>
            </w:r>
          </w:p>
        </w:tc>
        <w:tc>
          <w:tcPr>
            <w:tcW w:w="2505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浙江标准及行业联盟6分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权数分小计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权数系数2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主持N*1.0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参与N*0.6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主持N*1.0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参与N*0.6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主持N*1.0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参与N*0.6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项目个数N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得分情况</w:t>
            </w:r>
          </w:p>
        </w:tc>
        <w:tc>
          <w:tcPr>
            <w:tcW w:w="2370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hint="eastAsia"/>
          <w:b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</w:t>
      </w:r>
      <w:r>
        <w:rPr>
          <w:rFonts w:hint="eastAsia" w:ascii="宋体" w:hAnsi="宋体"/>
          <w:b/>
          <w:szCs w:val="21"/>
        </w:rPr>
        <w:t>N为项目数，</w:t>
      </w:r>
      <w:r>
        <w:rPr>
          <w:rFonts w:hint="eastAsia" w:ascii="宋体" w:hAnsi="宋体"/>
          <w:b/>
          <w:color w:val="000000"/>
          <w:szCs w:val="21"/>
        </w:rPr>
        <w:t>L1、L2、L3项的二倍权数分封顶，</w:t>
      </w:r>
      <w:r>
        <w:rPr>
          <w:rFonts w:hint="eastAsia"/>
          <w:b/>
          <w:szCs w:val="21"/>
        </w:rPr>
        <w:t>L4=L1+L2+L3(满分为24分)</w:t>
      </w:r>
    </w:p>
    <w:p>
      <w:pPr>
        <w:spacing w:line="3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（2）专利、版权获得：</w:t>
      </w:r>
    </w:p>
    <w:tbl>
      <w:tblPr>
        <w:tblStyle w:val="2"/>
        <w:tblW w:w="10590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215"/>
        <w:gridCol w:w="1125"/>
        <w:gridCol w:w="1455"/>
        <w:gridCol w:w="1395"/>
        <w:gridCol w:w="1305"/>
        <w:gridCol w:w="94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L1</w:t>
            </w:r>
          </w:p>
        </w:tc>
        <w:tc>
          <w:tcPr>
            <w:tcW w:w="2850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L2</w:t>
            </w: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权数系数1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发明专利6分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软件著作、实用新型3分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外观专利1分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权数分小计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权数系数2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多项N*0.6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单项1.0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多项N*0.6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单项1.0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多项N*0.6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单项1.0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50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得分情况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50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hint="eastAsia"/>
          <w:b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注：N为项目数，L1、L2、L3、L4项的二倍权数分封顶，</w:t>
      </w:r>
      <w:r>
        <w:rPr>
          <w:rFonts w:hint="eastAsia"/>
          <w:b/>
          <w:szCs w:val="21"/>
        </w:rPr>
        <w:t>L4=L1+L2+L3(满分为12分)</w:t>
      </w:r>
    </w:p>
    <w:p>
      <w:pPr>
        <w:spacing w:line="45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（3）科学技术奖：</w:t>
      </w:r>
    </w:p>
    <w:tbl>
      <w:tblPr>
        <w:tblStyle w:val="2"/>
        <w:tblW w:w="10605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95"/>
        <w:gridCol w:w="780"/>
        <w:gridCol w:w="795"/>
        <w:gridCol w:w="825"/>
        <w:gridCol w:w="780"/>
        <w:gridCol w:w="825"/>
        <w:gridCol w:w="770"/>
        <w:gridCol w:w="765"/>
        <w:gridCol w:w="76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</w:p>
        </w:tc>
        <w:tc>
          <w:tcPr>
            <w:tcW w:w="2370" w:type="dxa"/>
            <w:gridSpan w:val="3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L1</w:t>
            </w:r>
          </w:p>
        </w:tc>
        <w:tc>
          <w:tcPr>
            <w:tcW w:w="2430" w:type="dxa"/>
            <w:gridSpan w:val="3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L2</w:t>
            </w:r>
          </w:p>
        </w:tc>
        <w:tc>
          <w:tcPr>
            <w:tcW w:w="2295" w:type="dxa"/>
            <w:gridSpan w:val="3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L3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80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权数系数1</w:t>
            </w:r>
          </w:p>
        </w:tc>
        <w:tc>
          <w:tcPr>
            <w:tcW w:w="2370" w:type="dxa"/>
            <w:gridSpan w:val="3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国家级12分</w:t>
            </w:r>
          </w:p>
        </w:tc>
        <w:tc>
          <w:tcPr>
            <w:tcW w:w="2430" w:type="dxa"/>
            <w:gridSpan w:val="3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  级9分</w:t>
            </w:r>
          </w:p>
        </w:tc>
        <w:tc>
          <w:tcPr>
            <w:tcW w:w="2295" w:type="dxa"/>
            <w:gridSpan w:val="3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  级6分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权数分小计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权数系数2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特等奖N*2.0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一等奖N*1.0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二等奖N*0.8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一等奖N*1.0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二等奖N*0.8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三等奖N*0.6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一等奖N*1.0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二等奖N*0.8</w:t>
            </w:r>
          </w:p>
        </w:tc>
        <w:tc>
          <w:tcPr>
            <w:tcW w:w="760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三等奖N*0.6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0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680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得分情况</w:t>
            </w:r>
          </w:p>
        </w:tc>
        <w:tc>
          <w:tcPr>
            <w:tcW w:w="2370" w:type="dxa"/>
            <w:gridSpan w:val="3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3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340" w:lineRule="exact"/>
        <w:ind w:left="413" w:hanging="413" w:hangingChars="196"/>
        <w:rPr>
          <w:rFonts w:hint="eastAsia"/>
          <w:b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</w:t>
      </w:r>
      <w:r>
        <w:rPr>
          <w:rFonts w:hint="eastAsia" w:ascii="宋体" w:hAnsi="宋体"/>
          <w:b/>
          <w:szCs w:val="21"/>
        </w:rPr>
        <w:t>N为项目数</w:t>
      </w:r>
      <w:r>
        <w:rPr>
          <w:rFonts w:hint="eastAsia" w:ascii="宋体" w:hAnsi="宋体"/>
          <w:b/>
          <w:color w:val="000000"/>
          <w:szCs w:val="21"/>
        </w:rPr>
        <w:t>，L1、L2、L3项的二倍权数分封顶，</w:t>
      </w:r>
      <w:r>
        <w:rPr>
          <w:rFonts w:hint="eastAsia"/>
          <w:b/>
          <w:szCs w:val="21"/>
        </w:rPr>
        <w:t>L4=L1+L2+L3(满分为24分)</w:t>
      </w:r>
    </w:p>
    <w:p>
      <w:pPr>
        <w:spacing w:line="3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（4）奖项获得：</w:t>
      </w:r>
    </w:p>
    <w:tbl>
      <w:tblPr>
        <w:tblStyle w:val="2"/>
        <w:tblW w:w="1047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140"/>
        <w:gridCol w:w="1140"/>
        <w:gridCol w:w="1140"/>
        <w:gridCol w:w="1140"/>
        <w:gridCol w:w="1140"/>
        <w:gridCol w:w="1140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L1</w:t>
            </w: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L2</w:t>
            </w: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L3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权数系数1</w:t>
            </w: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国家级6分</w:t>
            </w: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  级3分</w:t>
            </w: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  级1分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权数分小计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权数系数2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4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多项N*0.6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单项1.0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4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多项N*0.6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单项1.0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4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多项N*0.6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单项1.0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得分情况</w:t>
            </w: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hint="eastAsia"/>
          <w:b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注：N为项目数，L1、L2、L3项的二倍权数分封顶，</w:t>
      </w:r>
      <w:r>
        <w:rPr>
          <w:rFonts w:hint="eastAsia"/>
          <w:b/>
          <w:szCs w:val="21"/>
        </w:rPr>
        <w:t xml:space="preserve"> L4=L1+L2+L3(满分为12分)</w:t>
      </w:r>
    </w:p>
    <w:p>
      <w:pPr>
        <w:spacing w:line="3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（5）高新技术企业、技术中心、首台（套）、重点软件企业：</w:t>
      </w:r>
    </w:p>
    <w:tbl>
      <w:tblPr>
        <w:tblStyle w:val="2"/>
        <w:tblW w:w="1049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073"/>
        <w:gridCol w:w="1087"/>
        <w:gridCol w:w="1080"/>
        <w:gridCol w:w="1080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L1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L2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L3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0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权数系数1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国家级12分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  级6分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  级3分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权数分小计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权数系数2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多项N*0.6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单项1.0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多项N*0.6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单项1.0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多项N*0.6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单项1.0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得分情况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spacing w:line="45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hint="eastAsia"/>
          <w:b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注：N为项目数，L1、L2、L3项的二倍权数分封顶，</w:t>
      </w:r>
      <w:r>
        <w:rPr>
          <w:rFonts w:hint="eastAsia"/>
          <w:b/>
          <w:szCs w:val="21"/>
        </w:rPr>
        <w:t>L4=L1+L2+L3(满分为24分)</w:t>
      </w:r>
    </w:p>
    <w:p>
      <w:pPr>
        <w:spacing w:line="3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（6）管理体系认证：</w:t>
      </w:r>
    </w:p>
    <w:tbl>
      <w:tblPr>
        <w:tblStyle w:val="2"/>
        <w:tblW w:w="1050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760"/>
        <w:gridCol w:w="2760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</w:p>
        </w:tc>
        <w:tc>
          <w:tcPr>
            <w:tcW w:w="55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L1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权数系数1</w:t>
            </w:r>
          </w:p>
        </w:tc>
        <w:tc>
          <w:tcPr>
            <w:tcW w:w="55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管理体系认证6分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权数分小计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权数系数2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多项N*0.6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单项1.0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认证名称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64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得分情况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64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>
      <w:pPr>
        <w:spacing w:line="340" w:lineRule="exact"/>
        <w:rPr>
          <w:rFonts w:hint="eastAsia"/>
          <w:b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注：N为项目数，二倍权数分封顶</w:t>
      </w:r>
      <w:r>
        <w:rPr>
          <w:rFonts w:hint="eastAsia"/>
          <w:b/>
          <w:szCs w:val="21"/>
        </w:rPr>
        <w:t xml:space="preserve"> (满分为12分)</w:t>
      </w:r>
    </w:p>
    <w:p>
      <w:pPr>
        <w:spacing w:line="3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（7）政府质量奖：</w:t>
      </w:r>
    </w:p>
    <w:tbl>
      <w:tblPr>
        <w:tblStyle w:val="2"/>
        <w:tblW w:w="1047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984"/>
        <w:gridCol w:w="1985"/>
        <w:gridCol w:w="2835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L1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L2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L3</w:t>
            </w:r>
          </w:p>
        </w:tc>
        <w:tc>
          <w:tcPr>
            <w:tcW w:w="1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政府质量奖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省长质量奖12分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市长质量奖6分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县区（市）长质量奖3分</w:t>
            </w:r>
          </w:p>
        </w:tc>
        <w:tc>
          <w:tcPr>
            <w:tcW w:w="1714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权数分小计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得分情况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</w:t>
      </w:r>
      <w:r>
        <w:rPr>
          <w:rFonts w:hint="eastAsia"/>
          <w:b/>
          <w:szCs w:val="21"/>
        </w:rPr>
        <w:t>计分采用从高原则，不重复计分（满分为12分）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（8）企业管理资质：</w:t>
      </w:r>
    </w:p>
    <w:tbl>
      <w:tblPr>
        <w:tblStyle w:val="2"/>
        <w:tblW w:w="1050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220"/>
        <w:gridCol w:w="2221"/>
        <w:gridCol w:w="2221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L1</w:t>
            </w:r>
          </w:p>
        </w:tc>
        <w:tc>
          <w:tcPr>
            <w:tcW w:w="222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L2</w:t>
            </w:r>
          </w:p>
        </w:tc>
        <w:tc>
          <w:tcPr>
            <w:tcW w:w="222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L3</w:t>
            </w:r>
          </w:p>
        </w:tc>
        <w:tc>
          <w:tcPr>
            <w:tcW w:w="188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管理资质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饭店五星、物流5A、建筑特级、道路一级等（6）</w:t>
            </w:r>
          </w:p>
        </w:tc>
        <w:tc>
          <w:tcPr>
            <w:tcW w:w="2221" w:type="dxa"/>
            <w:noWrap w:val="0"/>
            <w:vAlign w:val="top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饭店四星、物流4A、建筑一级、道路二级等（3）</w:t>
            </w:r>
          </w:p>
        </w:tc>
        <w:tc>
          <w:tcPr>
            <w:tcW w:w="2221" w:type="dxa"/>
            <w:noWrap w:val="0"/>
            <w:vAlign w:val="top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饭店三星、物流3A、建筑二级、道路三级等（1）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权数分小计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8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1" w:type="dxa"/>
            <w:noWrap w:val="0"/>
            <w:vAlign w:val="top"/>
          </w:tcPr>
          <w:p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1" w:type="dxa"/>
            <w:noWrap w:val="0"/>
            <w:vAlign w:val="top"/>
          </w:tcPr>
          <w:p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6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8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得分情况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1" w:type="dxa"/>
            <w:noWrap w:val="0"/>
            <w:vAlign w:val="top"/>
          </w:tcPr>
          <w:p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1" w:type="dxa"/>
            <w:noWrap w:val="0"/>
            <w:vAlign w:val="top"/>
          </w:tcPr>
          <w:p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6" w:type="dxa"/>
            <w:noWrap w:val="0"/>
            <w:vAlign w:val="top"/>
          </w:tcPr>
          <w:p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hint="eastAsia"/>
          <w:b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</w:t>
      </w:r>
      <w:r>
        <w:rPr>
          <w:rFonts w:hint="eastAsia"/>
          <w:b/>
          <w:szCs w:val="21"/>
        </w:rPr>
        <w:t>计分采用从高原则，不重复计分（满分为6分）</w:t>
      </w:r>
    </w:p>
    <w:p>
      <w:pPr>
        <w:spacing w:line="360" w:lineRule="exact"/>
        <w:rPr>
          <w:rFonts w:hint="eastAsia"/>
          <w:b/>
          <w:sz w:val="28"/>
          <w:szCs w:val="28"/>
        </w:rPr>
      </w:pPr>
    </w:p>
    <w:p>
      <w:pPr>
        <w:spacing w:line="36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（9）社会责任：</w:t>
      </w:r>
    </w:p>
    <w:tbl>
      <w:tblPr>
        <w:tblStyle w:val="2"/>
        <w:tblW w:w="1049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075"/>
        <w:gridCol w:w="1980"/>
        <w:gridCol w:w="292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社会责任项目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省级社会责任6分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市级社会责任3分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区县（市）级社会责任1分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权数分小计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具体名称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得分情况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注：计分采用从高原则，不重复计分（满分为6分）</w:t>
      </w:r>
    </w:p>
    <w:p>
      <w:pPr>
        <w:spacing w:line="360" w:lineRule="exact"/>
        <w:rPr>
          <w:rFonts w:hint="eastAsia"/>
          <w:sz w:val="18"/>
          <w:szCs w:val="18"/>
        </w:rPr>
      </w:pPr>
      <w:r>
        <w:rPr>
          <w:rFonts w:hint="eastAsia"/>
          <w:b/>
          <w:sz w:val="28"/>
          <w:szCs w:val="28"/>
        </w:rPr>
        <w:t xml:space="preserve">（10）资产负债率：（满分为10分，具体详见填表说明第10项）  </w:t>
      </w:r>
    </w:p>
    <w:tbl>
      <w:tblPr>
        <w:tblStyle w:val="2"/>
        <w:tblW w:w="1049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980"/>
        <w:gridCol w:w="1980"/>
        <w:gridCol w:w="2340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资产负债率标准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制造类65%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商贸服务类70%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建筑房产类75%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权数分小计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2020年末资产负债率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得分情况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注：以2020年报数为填报依据，百分比保留二位小数</w:t>
      </w:r>
    </w:p>
    <w:p>
      <w:pPr>
        <w:spacing w:line="3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（11）营业收入增长率：（满分为10分，具体详见填表说明第11项）</w:t>
      </w:r>
    </w:p>
    <w:tbl>
      <w:tblPr>
        <w:tblStyle w:val="2"/>
        <w:tblW w:w="1049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2098"/>
        <w:gridCol w:w="2340"/>
        <w:gridCol w:w="1941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营业收入指标</w:t>
            </w:r>
          </w:p>
        </w:tc>
        <w:tc>
          <w:tcPr>
            <w:tcW w:w="2098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⑴基期年度营业收入总额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⑵报告期年度营业收入总额</w:t>
            </w:r>
          </w:p>
        </w:tc>
        <w:tc>
          <w:tcPr>
            <w:tcW w:w="194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{⑵—⑴}/⑴*100%/2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权数分小计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企业申报数值</w:t>
            </w:r>
          </w:p>
        </w:tc>
        <w:tc>
          <w:tcPr>
            <w:tcW w:w="209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得分情况</w:t>
            </w:r>
          </w:p>
        </w:tc>
        <w:tc>
          <w:tcPr>
            <w:tcW w:w="209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-------------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-------------</w:t>
            </w:r>
          </w:p>
        </w:tc>
        <w:tc>
          <w:tcPr>
            <w:tcW w:w="194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340" w:lineRule="exact"/>
        <w:rPr>
          <w:rFonts w:hint="eastAsia" w:ascii="宋体" w:hAnsi="宋体"/>
          <w:b/>
          <w:spacing w:val="8"/>
          <w:szCs w:val="21"/>
        </w:rPr>
      </w:pPr>
      <w:r>
        <w:rPr>
          <w:rFonts w:ascii="宋体" w:hAnsi="宋体"/>
          <w:b/>
          <w:spacing w:val="8"/>
          <w:szCs w:val="21"/>
        </w:rPr>
        <w:t>（</w:t>
      </w:r>
      <w:r>
        <w:rPr>
          <w:rFonts w:hint="eastAsia" w:ascii="宋体" w:hAnsi="宋体"/>
          <w:b/>
          <w:spacing w:val="8"/>
          <w:szCs w:val="21"/>
        </w:rPr>
        <w:t>报告期年度营业</w:t>
      </w:r>
      <w:r>
        <w:rPr>
          <w:rFonts w:ascii="宋体" w:hAnsi="宋体"/>
          <w:b/>
          <w:spacing w:val="8"/>
          <w:szCs w:val="21"/>
        </w:rPr>
        <w:t>收入</w:t>
      </w:r>
      <w:r>
        <w:rPr>
          <w:rFonts w:hint="eastAsia" w:ascii="宋体" w:hAnsi="宋体"/>
          <w:b/>
          <w:spacing w:val="8"/>
          <w:szCs w:val="21"/>
        </w:rPr>
        <w:t>总</w:t>
      </w:r>
      <w:r>
        <w:rPr>
          <w:rFonts w:ascii="宋体" w:hAnsi="宋体"/>
          <w:b/>
          <w:spacing w:val="8"/>
          <w:szCs w:val="21"/>
        </w:rPr>
        <w:t>额-</w:t>
      </w:r>
      <w:r>
        <w:rPr>
          <w:rFonts w:hint="eastAsia" w:ascii="宋体" w:hAnsi="宋体"/>
          <w:b/>
          <w:spacing w:val="8"/>
          <w:szCs w:val="21"/>
        </w:rPr>
        <w:t>基期年度营业</w:t>
      </w:r>
      <w:r>
        <w:rPr>
          <w:rFonts w:ascii="宋体" w:hAnsi="宋体"/>
          <w:b/>
          <w:spacing w:val="8"/>
          <w:szCs w:val="21"/>
        </w:rPr>
        <w:t>收入</w:t>
      </w:r>
      <w:r>
        <w:rPr>
          <w:rFonts w:hint="eastAsia" w:ascii="宋体" w:hAnsi="宋体"/>
          <w:b/>
          <w:spacing w:val="8"/>
          <w:szCs w:val="21"/>
        </w:rPr>
        <w:t>总</w:t>
      </w:r>
      <w:r>
        <w:rPr>
          <w:rFonts w:ascii="宋体" w:hAnsi="宋体"/>
          <w:b/>
          <w:spacing w:val="8"/>
          <w:szCs w:val="21"/>
        </w:rPr>
        <w:t>额）/</w:t>
      </w:r>
      <w:r>
        <w:rPr>
          <w:rFonts w:hint="eastAsia" w:ascii="宋体" w:hAnsi="宋体"/>
          <w:b/>
          <w:spacing w:val="8"/>
          <w:szCs w:val="21"/>
        </w:rPr>
        <w:t>基期年度营业</w:t>
      </w:r>
      <w:r>
        <w:rPr>
          <w:rFonts w:ascii="宋体" w:hAnsi="宋体"/>
          <w:b/>
          <w:spacing w:val="8"/>
          <w:szCs w:val="21"/>
        </w:rPr>
        <w:t>收入</w:t>
      </w:r>
      <w:r>
        <w:rPr>
          <w:rFonts w:hint="eastAsia" w:ascii="宋体" w:hAnsi="宋体"/>
          <w:b/>
          <w:spacing w:val="8"/>
          <w:szCs w:val="21"/>
        </w:rPr>
        <w:t>总</w:t>
      </w:r>
      <w:r>
        <w:rPr>
          <w:rFonts w:ascii="宋体" w:hAnsi="宋体"/>
          <w:b/>
          <w:spacing w:val="8"/>
          <w:szCs w:val="21"/>
        </w:rPr>
        <w:t>额*100%</w:t>
      </w:r>
      <w:r>
        <w:rPr>
          <w:rFonts w:hint="eastAsia" w:ascii="宋体" w:hAnsi="宋体"/>
          <w:b/>
          <w:spacing w:val="8"/>
          <w:szCs w:val="21"/>
        </w:rPr>
        <w:t>/2</w:t>
      </w:r>
    </w:p>
    <w:p>
      <w:pPr>
        <w:spacing w:line="34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注：报告期数据为2020年，基期数据为2018年。单位：万元；百分比保留二位小数</w:t>
      </w:r>
    </w:p>
    <w:p>
      <w:pPr>
        <w:spacing w:line="3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（12）利润增长率：（满分为20分，具体详见填表说明第12项）</w:t>
      </w:r>
    </w:p>
    <w:tbl>
      <w:tblPr>
        <w:tblStyle w:val="2"/>
        <w:tblW w:w="1050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1624"/>
        <w:gridCol w:w="1695"/>
        <w:gridCol w:w="333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企业利润指标（一）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spacing w:line="27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⑴基期年度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利润总额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spacing w:line="27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⑵报告期年度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利润总额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〔⑵—⑴</w:t>
            </w:r>
            <w:r>
              <w:rPr>
                <w:rFonts w:ascii="宋体" w:hAnsi="宋体"/>
                <w:sz w:val="24"/>
              </w:rPr>
              <w:t>〕</w:t>
            </w:r>
            <w:r>
              <w:rPr>
                <w:rFonts w:hint="eastAsia" w:ascii="宋体" w:hAnsi="宋体"/>
                <w:sz w:val="24"/>
              </w:rPr>
              <w:t>/⑴*100%/2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权数分小计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基期利润为正数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企业利润指标（二）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spacing w:line="27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⑴基期年度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利润总额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spacing w:line="27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⑵报告期年度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利润总额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06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{1-</w:t>
            </w:r>
            <w:r>
              <w:rPr>
                <w:rFonts w:hint="eastAsia" w:ascii="宋体" w:hAnsi="宋体"/>
                <w:color w:val="000000"/>
                <w:szCs w:val="21"/>
              </w:rPr>
              <w:t>[（2）-（1）]/（1）</w:t>
            </w:r>
            <w:r>
              <w:rPr>
                <w:rFonts w:hint="eastAsia" w:ascii="宋体" w:hAnsi="宋体"/>
                <w:color w:val="000000"/>
                <w:sz w:val="24"/>
              </w:rPr>
              <w:t>}*100%/2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基期利润为负数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得分情况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-------------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-------------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340" w:lineRule="exact"/>
        <w:rPr>
          <w:rFonts w:hint="eastAsia" w:ascii="宋体" w:hAnsi="宋体" w:cs="Arial"/>
          <w:b/>
          <w:szCs w:val="21"/>
        </w:rPr>
      </w:pPr>
      <w:r>
        <w:rPr>
          <w:rFonts w:hint="eastAsia" w:ascii="宋体" w:hAnsi="宋体" w:cs="Arial"/>
          <w:b/>
          <w:szCs w:val="21"/>
        </w:rPr>
        <w:t>基期利润为正数：</w:t>
      </w:r>
      <w:r>
        <w:rPr>
          <w:rFonts w:ascii="宋体" w:hAnsi="宋体" w:cs="Arial"/>
          <w:b/>
          <w:szCs w:val="21"/>
        </w:rPr>
        <w:t>（</w:t>
      </w:r>
      <w:r>
        <w:rPr>
          <w:rFonts w:hint="eastAsia" w:ascii="宋体" w:hAnsi="宋体" w:cs="Arial"/>
          <w:b/>
          <w:szCs w:val="21"/>
        </w:rPr>
        <w:t>报告期</w:t>
      </w:r>
      <w:r>
        <w:rPr>
          <w:rFonts w:ascii="宋体" w:hAnsi="宋体" w:cs="Arial"/>
          <w:b/>
          <w:szCs w:val="21"/>
        </w:rPr>
        <w:t>年</w:t>
      </w:r>
      <w:r>
        <w:rPr>
          <w:rFonts w:hint="eastAsia" w:ascii="宋体" w:hAnsi="宋体" w:cs="Arial"/>
          <w:b/>
          <w:szCs w:val="21"/>
        </w:rPr>
        <w:t>度</w:t>
      </w:r>
      <w:r>
        <w:rPr>
          <w:rFonts w:ascii="宋体" w:hAnsi="宋体" w:cs="Arial"/>
          <w:b/>
          <w:szCs w:val="21"/>
        </w:rPr>
        <w:t>利润</w:t>
      </w:r>
      <w:r>
        <w:rPr>
          <w:rFonts w:hint="eastAsia" w:ascii="宋体" w:hAnsi="宋体" w:cs="Arial"/>
          <w:b/>
          <w:szCs w:val="21"/>
        </w:rPr>
        <w:t>总</w:t>
      </w:r>
      <w:r>
        <w:rPr>
          <w:rFonts w:ascii="宋体" w:hAnsi="宋体" w:cs="Arial"/>
          <w:b/>
          <w:szCs w:val="21"/>
        </w:rPr>
        <w:t>额</w:t>
      </w:r>
      <w:r>
        <w:rPr>
          <w:rFonts w:hint="eastAsia" w:ascii="宋体" w:hAnsi="宋体" w:cs="Arial"/>
          <w:b/>
          <w:szCs w:val="21"/>
        </w:rPr>
        <w:t>-基期</w:t>
      </w:r>
      <w:r>
        <w:rPr>
          <w:rFonts w:ascii="宋体" w:hAnsi="宋体" w:cs="Arial"/>
          <w:b/>
          <w:szCs w:val="21"/>
        </w:rPr>
        <w:t>年</w:t>
      </w:r>
      <w:r>
        <w:rPr>
          <w:rFonts w:hint="eastAsia" w:ascii="宋体" w:hAnsi="宋体" w:cs="Arial"/>
          <w:b/>
          <w:szCs w:val="21"/>
        </w:rPr>
        <w:t>度</w:t>
      </w:r>
      <w:r>
        <w:rPr>
          <w:rFonts w:ascii="宋体" w:hAnsi="宋体" w:cs="Arial"/>
          <w:b/>
          <w:szCs w:val="21"/>
        </w:rPr>
        <w:t>利润</w:t>
      </w:r>
      <w:r>
        <w:rPr>
          <w:rFonts w:hint="eastAsia" w:ascii="宋体" w:hAnsi="宋体" w:cs="Arial"/>
          <w:b/>
          <w:szCs w:val="21"/>
        </w:rPr>
        <w:t>总额</w:t>
      </w:r>
      <w:r>
        <w:rPr>
          <w:rFonts w:ascii="宋体" w:hAnsi="宋体" w:cs="Arial"/>
          <w:b/>
          <w:szCs w:val="21"/>
        </w:rPr>
        <w:t>）</w:t>
      </w:r>
      <w:r>
        <w:rPr>
          <w:rFonts w:hint="eastAsia" w:ascii="宋体" w:hAnsi="宋体" w:cs="Arial"/>
          <w:b/>
          <w:szCs w:val="21"/>
        </w:rPr>
        <w:t>/基期</w:t>
      </w:r>
      <w:r>
        <w:rPr>
          <w:rFonts w:ascii="宋体" w:hAnsi="宋体" w:cs="Arial"/>
          <w:b/>
          <w:szCs w:val="21"/>
        </w:rPr>
        <w:t>年</w:t>
      </w:r>
      <w:r>
        <w:rPr>
          <w:rFonts w:hint="eastAsia" w:ascii="宋体" w:hAnsi="宋体" w:cs="Arial"/>
          <w:b/>
          <w:szCs w:val="21"/>
        </w:rPr>
        <w:t>度</w:t>
      </w:r>
      <w:r>
        <w:rPr>
          <w:rFonts w:ascii="宋体" w:hAnsi="宋体" w:cs="Arial"/>
          <w:b/>
          <w:szCs w:val="21"/>
        </w:rPr>
        <w:t>利润</w:t>
      </w:r>
      <w:r>
        <w:rPr>
          <w:rFonts w:hint="eastAsia" w:ascii="宋体" w:hAnsi="宋体" w:cs="Arial"/>
          <w:b/>
          <w:szCs w:val="21"/>
        </w:rPr>
        <w:t>总额*</w:t>
      </w:r>
      <w:r>
        <w:rPr>
          <w:rFonts w:ascii="宋体" w:hAnsi="宋体" w:cs="Arial"/>
          <w:b/>
          <w:szCs w:val="21"/>
        </w:rPr>
        <w:t xml:space="preserve">100% </w:t>
      </w:r>
      <w:r>
        <w:rPr>
          <w:rFonts w:hint="eastAsia" w:ascii="宋体" w:hAnsi="宋体" w:cs="Arial"/>
          <w:b/>
          <w:szCs w:val="21"/>
        </w:rPr>
        <w:t>/2</w:t>
      </w:r>
    </w:p>
    <w:p>
      <w:pPr>
        <w:spacing w:line="340" w:lineRule="exact"/>
        <w:rPr>
          <w:rFonts w:hint="eastAsia" w:ascii="宋体" w:hAnsi="宋体" w:cs="Arial"/>
          <w:b/>
          <w:szCs w:val="21"/>
        </w:rPr>
      </w:pPr>
      <w:r>
        <w:rPr>
          <w:rFonts w:hint="eastAsia" w:ascii="宋体" w:hAnsi="宋体" w:cs="Arial"/>
          <w:b/>
          <w:szCs w:val="21"/>
        </w:rPr>
        <w:t>基期利润为负数：[1-</w:t>
      </w:r>
      <w:r>
        <w:rPr>
          <w:rFonts w:ascii="宋体" w:hAnsi="宋体" w:cs="Arial"/>
          <w:b/>
          <w:szCs w:val="21"/>
        </w:rPr>
        <w:t>（</w:t>
      </w:r>
      <w:r>
        <w:rPr>
          <w:rFonts w:hint="eastAsia" w:ascii="宋体" w:hAnsi="宋体" w:cs="Arial"/>
          <w:b/>
          <w:szCs w:val="21"/>
        </w:rPr>
        <w:t>报告期</w:t>
      </w:r>
      <w:r>
        <w:rPr>
          <w:rFonts w:ascii="宋体" w:hAnsi="宋体" w:cs="Arial"/>
          <w:b/>
          <w:szCs w:val="21"/>
        </w:rPr>
        <w:t>年</w:t>
      </w:r>
      <w:r>
        <w:rPr>
          <w:rFonts w:hint="eastAsia" w:ascii="宋体" w:hAnsi="宋体" w:cs="Arial"/>
          <w:b/>
          <w:szCs w:val="21"/>
        </w:rPr>
        <w:t>度</w:t>
      </w:r>
      <w:r>
        <w:rPr>
          <w:rFonts w:ascii="宋体" w:hAnsi="宋体" w:cs="Arial"/>
          <w:b/>
          <w:szCs w:val="21"/>
        </w:rPr>
        <w:t>利润</w:t>
      </w:r>
      <w:r>
        <w:rPr>
          <w:rFonts w:hint="eastAsia" w:ascii="宋体" w:hAnsi="宋体" w:cs="Arial"/>
          <w:b/>
          <w:szCs w:val="21"/>
        </w:rPr>
        <w:t>总</w:t>
      </w:r>
      <w:r>
        <w:rPr>
          <w:rFonts w:ascii="宋体" w:hAnsi="宋体" w:cs="Arial"/>
          <w:b/>
          <w:szCs w:val="21"/>
        </w:rPr>
        <w:t>额</w:t>
      </w:r>
      <w:r>
        <w:rPr>
          <w:rFonts w:hint="eastAsia" w:ascii="宋体" w:hAnsi="宋体" w:cs="Arial"/>
          <w:b/>
          <w:szCs w:val="21"/>
        </w:rPr>
        <w:t>-基期</w:t>
      </w:r>
      <w:r>
        <w:rPr>
          <w:rFonts w:ascii="宋体" w:hAnsi="宋体" w:cs="Arial"/>
          <w:b/>
          <w:szCs w:val="21"/>
        </w:rPr>
        <w:t>年</w:t>
      </w:r>
      <w:r>
        <w:rPr>
          <w:rFonts w:hint="eastAsia" w:ascii="宋体" w:hAnsi="宋体" w:cs="Arial"/>
          <w:b/>
          <w:szCs w:val="21"/>
        </w:rPr>
        <w:t>度</w:t>
      </w:r>
      <w:r>
        <w:rPr>
          <w:rFonts w:ascii="宋体" w:hAnsi="宋体" w:cs="Arial"/>
          <w:b/>
          <w:szCs w:val="21"/>
        </w:rPr>
        <w:t>利润</w:t>
      </w:r>
      <w:r>
        <w:rPr>
          <w:rFonts w:hint="eastAsia" w:ascii="宋体" w:hAnsi="宋体" w:cs="Arial"/>
          <w:b/>
          <w:szCs w:val="21"/>
        </w:rPr>
        <w:t>总额</w:t>
      </w:r>
      <w:r>
        <w:rPr>
          <w:rFonts w:ascii="宋体" w:hAnsi="宋体" w:cs="Arial"/>
          <w:b/>
          <w:szCs w:val="21"/>
        </w:rPr>
        <w:t>）</w:t>
      </w:r>
      <w:r>
        <w:rPr>
          <w:rFonts w:hint="eastAsia" w:ascii="宋体" w:hAnsi="宋体" w:cs="Arial"/>
          <w:b/>
          <w:szCs w:val="21"/>
        </w:rPr>
        <w:t>/基期</w:t>
      </w:r>
      <w:r>
        <w:rPr>
          <w:rFonts w:ascii="宋体" w:hAnsi="宋体" w:cs="Arial"/>
          <w:b/>
          <w:szCs w:val="21"/>
        </w:rPr>
        <w:t>年</w:t>
      </w:r>
      <w:r>
        <w:rPr>
          <w:rFonts w:hint="eastAsia" w:ascii="宋体" w:hAnsi="宋体" w:cs="Arial"/>
          <w:b/>
          <w:szCs w:val="21"/>
        </w:rPr>
        <w:t>度</w:t>
      </w:r>
      <w:r>
        <w:rPr>
          <w:rFonts w:ascii="宋体" w:hAnsi="宋体" w:cs="Arial"/>
          <w:b/>
          <w:szCs w:val="21"/>
        </w:rPr>
        <w:t>利润</w:t>
      </w:r>
      <w:r>
        <w:rPr>
          <w:rFonts w:hint="eastAsia" w:ascii="宋体" w:hAnsi="宋体" w:cs="Arial"/>
          <w:b/>
          <w:szCs w:val="21"/>
        </w:rPr>
        <w:t>总额]*</w:t>
      </w:r>
      <w:r>
        <w:rPr>
          <w:rFonts w:ascii="宋体" w:hAnsi="宋体" w:cs="Arial"/>
          <w:b/>
          <w:szCs w:val="21"/>
        </w:rPr>
        <w:t xml:space="preserve">100% </w:t>
      </w:r>
      <w:r>
        <w:rPr>
          <w:rFonts w:hint="eastAsia" w:ascii="宋体" w:hAnsi="宋体" w:cs="Arial"/>
          <w:b/>
          <w:szCs w:val="21"/>
        </w:rPr>
        <w:t>/2</w:t>
      </w:r>
    </w:p>
    <w:p>
      <w:pPr>
        <w:spacing w:line="34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注：报告期数据为2020年，基期数据为2018年。单位：万元；百分比保留二位小数</w:t>
      </w:r>
    </w:p>
    <w:tbl>
      <w:tblPr>
        <w:tblStyle w:val="2"/>
        <w:tblW w:w="1053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521"/>
        <w:gridCol w:w="474"/>
        <w:gridCol w:w="1047"/>
        <w:gridCol w:w="1521"/>
        <w:gridCol w:w="789"/>
        <w:gridCol w:w="732"/>
        <w:gridCol w:w="1521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21" w:type="dxa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第1项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第2项</w:t>
            </w:r>
          </w:p>
        </w:tc>
        <w:tc>
          <w:tcPr>
            <w:tcW w:w="1521" w:type="dxa"/>
            <w:gridSpan w:val="2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第3项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第4项</w:t>
            </w:r>
          </w:p>
        </w:tc>
        <w:tc>
          <w:tcPr>
            <w:tcW w:w="1521" w:type="dxa"/>
            <w:gridSpan w:val="2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第5项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第6项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第7项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21" w:type="dxa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21" w:type="dxa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第8项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第9项</w:t>
            </w:r>
          </w:p>
        </w:tc>
        <w:tc>
          <w:tcPr>
            <w:tcW w:w="1521" w:type="dxa"/>
            <w:gridSpan w:val="2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第10项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第11项</w:t>
            </w:r>
          </w:p>
        </w:tc>
        <w:tc>
          <w:tcPr>
            <w:tcW w:w="1521" w:type="dxa"/>
            <w:gridSpan w:val="2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第12项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总计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21" w:type="dxa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———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spacing w:line="306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3516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法人代表：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（签字）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申报企业（盖章）</w:t>
            </w:r>
          </w:p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2021年  月  日</w:t>
            </w:r>
          </w:p>
        </w:tc>
        <w:tc>
          <w:tcPr>
            <w:tcW w:w="3357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申报指标数据属实。</w:t>
            </w:r>
          </w:p>
          <w:p>
            <w:pPr>
              <w:widowControl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主管财务负责人：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（签字）　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  <w:p>
            <w:pPr>
              <w:spacing w:line="400" w:lineRule="exact"/>
              <w:jc w:val="righ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2021年  月  日</w:t>
            </w:r>
          </w:p>
        </w:tc>
        <w:tc>
          <w:tcPr>
            <w:tcW w:w="366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提交经审计的2018、2020年度财务报告复印件，或相关证明材料。</w:t>
            </w:r>
          </w:p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00" w:lineRule="exact"/>
              <w:ind w:firstLine="1440" w:firstLineChars="600"/>
              <w:rPr>
                <w:rFonts w:hint="eastAsia"/>
                <w:b/>
                <w:sz w:val="28"/>
                <w:szCs w:val="28"/>
                <w:highlight w:val="lightGray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2021年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A25BC"/>
    <w:rsid w:val="324A2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2021-03-09T01:45:00Z</dcterms:created>
  <dc:creator>小小门牙</dc:creator>
  <cp:lastModifiedBy>小小门牙</cp:lastModifiedBy>
  <dcterms:modified xsi:type="dcterms:W3CDTF">2021-03-09T01:45:46Z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